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B02B" w14:textId="77777777" w:rsidR="00470F62" w:rsidRDefault="00470F62" w:rsidP="00470F62">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3399"/>
          <w:sz w:val="32"/>
          <w:szCs w:val="32"/>
        </w:rPr>
        <w:t> </w:t>
      </w:r>
    </w:p>
    <w:p w14:paraId="5B2440DB" w14:textId="77777777" w:rsidR="00470F62" w:rsidRDefault="00470F62" w:rsidP="00470F62">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3399"/>
          <w:sz w:val="32"/>
          <w:szCs w:val="32"/>
        </w:rPr>
        <w:t>Anbefaling fra PRAC etter signalutredning – oppdatering av produktinformasjon </w:t>
      </w:r>
      <w:r>
        <w:rPr>
          <w:rStyle w:val="eop"/>
          <w:rFonts w:ascii="Verdana" w:hAnsi="Verdana" w:cs="Segoe UI"/>
          <w:color w:val="003399"/>
          <w:sz w:val="32"/>
          <w:szCs w:val="32"/>
        </w:rPr>
        <w:t> </w:t>
      </w:r>
    </w:p>
    <w:p w14:paraId="18D8E63B" w14:textId="3CE8CE47" w:rsidR="00470F62" w:rsidRDefault="00470F62" w:rsidP="00470F62">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Vedtatt 8-11. januar 2024 PRAC</w:t>
      </w:r>
      <w:r>
        <w:rPr>
          <w:rStyle w:val="eop"/>
          <w:rFonts w:ascii="Verdana" w:hAnsi="Verdana" w:cs="Segoe UI"/>
        </w:rPr>
        <w:t> </w:t>
      </w:r>
    </w:p>
    <w:p w14:paraId="4AE44B49" w14:textId="77777777" w:rsidR="006E497A" w:rsidRDefault="006E497A" w:rsidP="00470F62">
      <w:pPr>
        <w:pStyle w:val="paragraph"/>
        <w:spacing w:before="0" w:beforeAutospacing="0" w:after="0" w:afterAutospacing="0"/>
        <w:textAlignment w:val="baseline"/>
        <w:rPr>
          <w:rStyle w:val="eop"/>
          <w:rFonts w:ascii="Verdana" w:hAnsi="Verdana" w:cs="Segoe UI"/>
        </w:rPr>
      </w:pPr>
    </w:p>
    <w:p w14:paraId="477B8A0D" w14:textId="77777777" w:rsidR="006E497A" w:rsidRDefault="006E497A" w:rsidP="00470F62">
      <w:pPr>
        <w:pStyle w:val="paragraph"/>
        <w:spacing w:before="0" w:beforeAutospacing="0" w:after="0" w:afterAutospacing="0"/>
        <w:textAlignment w:val="baseline"/>
        <w:rPr>
          <w:rFonts w:ascii="Segoe UI" w:hAnsi="Segoe UI" w:cs="Segoe UI"/>
          <w:sz w:val="18"/>
          <w:szCs w:val="18"/>
        </w:rPr>
      </w:pPr>
    </w:p>
    <w:p w14:paraId="540522A6" w14:textId="7D9E61AB" w:rsidR="00470F62" w:rsidRDefault="00470F62" w:rsidP="00470F6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 xml:space="preserve">Ordlyden i produktinformasjonen i dette dokumentet er hentet fra dokumentet ‘PRAC recommendations on signals’, som inneholder hele PRAC anbefalingsteksten til oppdateringen. Dette dokumentet inneholder i tillegg en generell veiledning om hvordan signalene skal håndteres. Dokumentet finnes her </w:t>
      </w:r>
      <w:hyperlink r:id="rId5" w:history="1">
        <w:r w:rsidR="006E497A" w:rsidRPr="006E497A">
          <w:rPr>
            <w:rStyle w:val="Hyperkobling"/>
            <w:rFonts w:ascii="Verdana" w:hAnsi="Verdana"/>
            <w:bCs/>
            <w:iCs/>
            <w:sz w:val="18"/>
            <w:szCs w:val="18"/>
          </w:rPr>
          <w:t>PRAC recommendations on safety signals</w:t>
        </w:r>
      </w:hyperlink>
      <w:r w:rsidR="006E497A" w:rsidRPr="006E497A">
        <w:rPr>
          <w:rStyle w:val="Sidetall"/>
          <w:rFonts w:ascii="Verdana" w:hAnsi="Verdana" w:cs="Segoe UI"/>
          <w:sz w:val="18"/>
          <w:szCs w:val="18"/>
        </w:rPr>
        <w:t xml:space="preserve"> </w:t>
      </w:r>
      <w:r>
        <w:rPr>
          <w:rStyle w:val="normaltextrun"/>
          <w:rFonts w:ascii="Verdana" w:hAnsi="Verdana" w:cs="Segoe UI"/>
          <w:sz w:val="18"/>
          <w:szCs w:val="18"/>
        </w:rPr>
        <w:t>(kun engelsk versjon).</w:t>
      </w:r>
      <w:r>
        <w:rPr>
          <w:rStyle w:val="eop"/>
          <w:rFonts w:ascii="Verdana" w:hAnsi="Verdana" w:cs="Segoe UI"/>
          <w:sz w:val="18"/>
          <w:szCs w:val="18"/>
        </w:rPr>
        <w:t> </w:t>
      </w:r>
    </w:p>
    <w:p w14:paraId="640F2381" w14:textId="77777777" w:rsidR="00470F62" w:rsidRDefault="00470F62" w:rsidP="00470F62">
      <w:pPr>
        <w:pStyle w:val="paragraph"/>
        <w:spacing w:before="0" w:beforeAutospacing="0" w:after="0" w:afterAutospacing="0"/>
        <w:textAlignment w:val="baseline"/>
        <w:rPr>
          <w:rStyle w:val="eop"/>
          <w:rFonts w:ascii="Verdana" w:hAnsi="Verdana" w:cs="Segoe UI"/>
          <w:sz w:val="18"/>
          <w:szCs w:val="18"/>
        </w:rPr>
      </w:pPr>
      <w:r>
        <w:rPr>
          <w:rStyle w:val="normaltextrun"/>
          <w:rFonts w:ascii="Verdana" w:hAnsi="Verdana" w:cs="Segoe UI"/>
          <w:sz w:val="18"/>
          <w:szCs w:val="18"/>
        </w:rPr>
        <w:t xml:space="preserve">Ny tekst som skal inn i produktinformasjonen er </w:t>
      </w:r>
      <w:r>
        <w:rPr>
          <w:rStyle w:val="normaltextrun"/>
          <w:rFonts w:ascii="Verdana" w:hAnsi="Verdana" w:cs="Segoe UI"/>
          <w:sz w:val="18"/>
          <w:szCs w:val="18"/>
          <w:u w:val="single"/>
        </w:rPr>
        <w:t>understreket</w:t>
      </w:r>
      <w:r>
        <w:rPr>
          <w:rStyle w:val="normaltextrun"/>
          <w:rFonts w:ascii="Verdana" w:hAnsi="Verdana" w:cs="Segoe UI"/>
          <w:sz w:val="18"/>
          <w:szCs w:val="18"/>
        </w:rPr>
        <w:t xml:space="preserve">. Nåværende tekst som skal slettes er </w:t>
      </w:r>
      <w:r>
        <w:rPr>
          <w:rStyle w:val="normaltextrun"/>
          <w:rFonts w:ascii="Verdana" w:hAnsi="Verdana" w:cs="Segoe UI"/>
          <w:strike/>
          <w:sz w:val="18"/>
          <w:szCs w:val="18"/>
        </w:rPr>
        <w:t>gjennomstreket</w:t>
      </w:r>
      <w:r>
        <w:rPr>
          <w:rStyle w:val="normaltextrun"/>
          <w:rFonts w:ascii="Verdana" w:hAnsi="Verdana" w:cs="Segoe UI"/>
          <w:sz w:val="18"/>
          <w:szCs w:val="18"/>
        </w:rPr>
        <w:t>.</w:t>
      </w:r>
      <w:r>
        <w:rPr>
          <w:rStyle w:val="eop"/>
          <w:rFonts w:ascii="Verdana" w:hAnsi="Verdana" w:cs="Segoe UI"/>
          <w:sz w:val="18"/>
          <w:szCs w:val="18"/>
        </w:rPr>
        <w:t> </w:t>
      </w:r>
    </w:p>
    <w:p w14:paraId="33D1E69A" w14:textId="77777777" w:rsidR="00470F62" w:rsidRDefault="00470F62" w:rsidP="00470F62">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1176520" w14:textId="77777777" w:rsidR="006E497A" w:rsidRPr="00371A1C" w:rsidRDefault="006E497A" w:rsidP="006E497A">
      <w:pPr>
        <w:pStyle w:val="BodytextAgency"/>
        <w:rPr>
          <w:lang w:val="nb-NO"/>
        </w:rPr>
      </w:pPr>
    </w:p>
    <w:p w14:paraId="798F350B" w14:textId="77777777" w:rsidR="006E497A" w:rsidRPr="00470F62" w:rsidRDefault="006E497A" w:rsidP="006E497A">
      <w:pPr>
        <w:pStyle w:val="Heading1Agency"/>
        <w:rPr>
          <w:lang w:val="nb-NO"/>
        </w:rPr>
      </w:pPr>
      <w:r w:rsidRPr="00470F62">
        <w:rPr>
          <w:lang w:val="nb-NO" w:eastAsia="en-US"/>
        </w:rPr>
        <w:t>Am</w:t>
      </w:r>
      <w:r>
        <w:rPr>
          <w:lang w:val="nb-NO" w:eastAsia="en-US"/>
        </w:rPr>
        <w:t>f</w:t>
      </w:r>
      <w:r w:rsidRPr="00470F62">
        <w:rPr>
          <w:lang w:val="nb-NO" w:eastAsia="en-US"/>
        </w:rPr>
        <w:t>otericin B</w:t>
      </w:r>
      <w:r w:rsidRPr="00470F62">
        <w:rPr>
          <w:lang w:val="nb-NO"/>
        </w:rPr>
        <w:t xml:space="preserve"> – </w:t>
      </w:r>
      <w:r w:rsidRPr="00470F62">
        <w:rPr>
          <w:lang w:val="nb-NO" w:eastAsia="en-US"/>
        </w:rPr>
        <w:t>Hyperkalemi</w:t>
      </w:r>
      <w:r w:rsidRPr="00470F62">
        <w:rPr>
          <w:lang w:val="nb-NO"/>
        </w:rPr>
        <w:t xml:space="preserve"> (EPITT nr</w:t>
      </w:r>
      <w:r>
        <w:rPr>
          <w:lang w:val="nb-NO"/>
        </w:rPr>
        <w:t>.</w:t>
      </w:r>
      <w:r w:rsidRPr="00470F62">
        <w:rPr>
          <w:lang w:val="nb-NO"/>
        </w:rPr>
        <w:t xml:space="preserve"> 19966)</w:t>
      </w:r>
    </w:p>
    <w:p w14:paraId="05F2DE96" w14:textId="77777777" w:rsidR="006E497A" w:rsidRPr="008C0897" w:rsidRDefault="006E497A" w:rsidP="006E497A">
      <w:pPr>
        <w:pStyle w:val="Heading1Agency"/>
        <w:numPr>
          <w:ilvl w:val="0"/>
          <w:numId w:val="0"/>
        </w:numPr>
        <w:rPr>
          <w:sz w:val="20"/>
          <w:szCs w:val="20"/>
          <w:lang w:val="nb-NO"/>
        </w:rPr>
      </w:pPr>
      <w:r w:rsidRPr="008C0897">
        <w:rPr>
          <w:sz w:val="20"/>
          <w:szCs w:val="20"/>
          <w:lang w:val="nb-NO"/>
        </w:rPr>
        <w:t>AmBisome</w:t>
      </w:r>
      <w:r>
        <w:rPr>
          <w:sz w:val="20"/>
          <w:szCs w:val="20"/>
          <w:lang w:val="nb-NO"/>
        </w:rPr>
        <w:t xml:space="preserve"> liposomal</w:t>
      </w:r>
      <w:r w:rsidRPr="008C0897">
        <w:rPr>
          <w:sz w:val="20"/>
          <w:szCs w:val="20"/>
          <w:lang w:val="nb-NO"/>
        </w:rPr>
        <w:t xml:space="preserve"> 50 mg, pulver til infusjonsvæske*</w:t>
      </w:r>
    </w:p>
    <w:p w14:paraId="5151DB9C" w14:textId="77777777" w:rsidR="006E497A" w:rsidRDefault="006E497A" w:rsidP="006E497A">
      <w:pPr>
        <w:pStyle w:val="paragraph"/>
        <w:spacing w:before="0" w:beforeAutospacing="0" w:after="0" w:afterAutospacing="0"/>
        <w:textAlignment w:val="baseline"/>
        <w:rPr>
          <w:rStyle w:val="eop"/>
          <w:rFonts w:ascii="Verdana" w:hAnsi="Verdana" w:cs="Segoe UI"/>
          <w:sz w:val="18"/>
          <w:szCs w:val="18"/>
        </w:rPr>
      </w:pPr>
      <w:r>
        <w:rPr>
          <w:rStyle w:val="normaltextrun"/>
          <w:rFonts w:ascii="Verdana" w:hAnsi="Verdana" w:cs="Segoe UI"/>
          <w:b/>
          <w:bCs/>
          <w:sz w:val="18"/>
          <w:szCs w:val="18"/>
        </w:rPr>
        <w:t>Preparatomtale</w:t>
      </w:r>
      <w:r>
        <w:rPr>
          <w:rStyle w:val="eop"/>
          <w:rFonts w:ascii="Verdana" w:hAnsi="Verdana" w:cs="Segoe UI"/>
          <w:sz w:val="18"/>
          <w:szCs w:val="18"/>
        </w:rPr>
        <w:t> </w:t>
      </w:r>
    </w:p>
    <w:p w14:paraId="4C62D593" w14:textId="77777777" w:rsidR="006E497A" w:rsidRDefault="006E497A" w:rsidP="006E497A">
      <w:pPr>
        <w:pStyle w:val="paragraph"/>
        <w:spacing w:before="0" w:beforeAutospacing="0" w:after="0" w:afterAutospacing="0"/>
        <w:textAlignment w:val="baseline"/>
        <w:rPr>
          <w:rStyle w:val="eop"/>
          <w:rFonts w:ascii="Verdana" w:hAnsi="Verdana" w:cs="Segoe UI"/>
          <w:sz w:val="18"/>
          <w:szCs w:val="18"/>
        </w:rPr>
      </w:pPr>
    </w:p>
    <w:p w14:paraId="06A84372" w14:textId="3C1B328F" w:rsidR="006E497A" w:rsidRPr="001060C4" w:rsidRDefault="006E497A" w:rsidP="006E497A">
      <w:pPr>
        <w:pStyle w:val="paragraph"/>
        <w:spacing w:before="0" w:beforeAutospacing="0" w:after="0" w:afterAutospacing="0"/>
        <w:textAlignment w:val="baseline"/>
        <w:rPr>
          <w:rStyle w:val="normaltextrun"/>
          <w:rFonts w:ascii="Verdana" w:hAnsi="Verdana"/>
          <w:sz w:val="18"/>
          <w:szCs w:val="18"/>
        </w:rPr>
      </w:pPr>
      <w:r w:rsidRPr="001060C4">
        <w:rPr>
          <w:rStyle w:val="normaltextrun"/>
          <w:rFonts w:ascii="Verdana" w:hAnsi="Verdana"/>
          <w:sz w:val="18"/>
          <w:szCs w:val="18"/>
        </w:rPr>
        <w:t>4.4 Advarsler og forsiktighetsregler</w:t>
      </w:r>
    </w:p>
    <w:p w14:paraId="00301421" w14:textId="77777777" w:rsidR="006E497A" w:rsidRDefault="006E497A" w:rsidP="006E497A">
      <w:pPr>
        <w:pStyle w:val="paragraph"/>
        <w:spacing w:before="0" w:beforeAutospacing="0" w:after="0" w:afterAutospacing="0"/>
        <w:textAlignment w:val="baseline"/>
        <w:rPr>
          <w:rFonts w:ascii="Segoe UI" w:hAnsi="Segoe UI" w:cs="Segoe UI"/>
          <w:sz w:val="18"/>
          <w:szCs w:val="18"/>
        </w:rPr>
      </w:pPr>
    </w:p>
    <w:p w14:paraId="4F80F3CE"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r w:rsidRPr="00523CB0">
        <w:rPr>
          <w:rStyle w:val="normaltextrun"/>
          <w:rFonts w:ascii="Verdana" w:hAnsi="Verdana" w:cs="Segoe UI"/>
          <w:sz w:val="18"/>
          <w:szCs w:val="18"/>
        </w:rPr>
        <w:t xml:space="preserve">AmBisome liposomal er vist å være mindre toksisk enn konvensjonell amfotericin B, spesielt med hensyn til nyretoksisitet, men bivirkninger, inkludert nyrepåvirkning, kan likevel oppstå.  </w:t>
      </w:r>
    </w:p>
    <w:p w14:paraId="2115FA0F"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p>
    <w:p w14:paraId="6326D99A"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r w:rsidRPr="00523CB0">
        <w:rPr>
          <w:rStyle w:val="normaltextrun"/>
          <w:rFonts w:ascii="Verdana" w:hAnsi="Verdana" w:cs="Segoe UI"/>
          <w:sz w:val="18"/>
          <w:szCs w:val="18"/>
        </w:rPr>
        <w:t xml:space="preserve">I studier som sammenlignet AmBisome liposomal 3 mg/kg daglig med høyere doser (5, 6 eller 10 mg/kg daglig), ble det funnet at forekomsten av økt serumkreatinin, hypokalemi og hypomagnesemi var betydelig høyere i høydosegruppene.  </w:t>
      </w:r>
    </w:p>
    <w:p w14:paraId="6476E613"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p>
    <w:p w14:paraId="40654DC7"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u w:val="single"/>
        </w:rPr>
      </w:pPr>
      <w:r w:rsidRPr="00523CB0">
        <w:rPr>
          <w:rStyle w:val="normaltextrun"/>
          <w:rFonts w:ascii="Verdana" w:hAnsi="Verdana" w:cs="Segoe UI"/>
          <w:sz w:val="18"/>
          <w:szCs w:val="18"/>
        </w:rPr>
        <w:t xml:space="preserve">Det bør tas regelmessige laboratorieprøver av serumelektrolytter, spesielt kalium og magnesium, samt nyre-, lever- og hematopoetisk funksjon. </w:t>
      </w:r>
      <w:r w:rsidRPr="0060663E">
        <w:rPr>
          <w:rStyle w:val="normaltextrun"/>
          <w:rFonts w:ascii="Verdana" w:hAnsi="Verdana" w:cs="Segoe UI"/>
          <w:strike/>
          <w:sz w:val="18"/>
          <w:szCs w:val="18"/>
        </w:rPr>
        <w:t>Dette er spesielt viktig hos pasienter som samtidig får nyretoksiske legemidler (se pkt. 4.5).</w:t>
      </w:r>
      <w:r w:rsidRPr="00523CB0">
        <w:rPr>
          <w:rStyle w:val="normaltextrun"/>
          <w:rFonts w:ascii="Verdana" w:hAnsi="Verdana" w:cs="Segoe UI"/>
          <w:sz w:val="18"/>
          <w:szCs w:val="18"/>
        </w:rPr>
        <w:t xml:space="preserve"> På grunn av faren for hypokalemi, kan kaliumtilskudd være nødvendig ved bruk av AmBisome liposomal. Dersom det oppstår klinisk signifikant reduksjon i nyrefunksjon eller forverring av andre parameter, bør dosereduksjon, behandlingsavbrudd eller seponering vurderes.</w:t>
      </w:r>
      <w:r>
        <w:rPr>
          <w:rStyle w:val="normaltextrun"/>
          <w:rFonts w:ascii="Verdana" w:hAnsi="Verdana" w:cs="Segoe UI"/>
          <w:sz w:val="18"/>
          <w:szCs w:val="18"/>
        </w:rPr>
        <w:t xml:space="preserve"> </w:t>
      </w:r>
      <w:r w:rsidRPr="006C4B42">
        <w:rPr>
          <w:rStyle w:val="normaltextrun"/>
          <w:rFonts w:ascii="Verdana" w:hAnsi="Verdana" w:cs="Segoe UI"/>
          <w:sz w:val="18"/>
          <w:szCs w:val="18"/>
          <w:u w:val="single"/>
        </w:rPr>
        <w:t xml:space="preserve">Tilfeller av hyperkalemi (noen av </w:t>
      </w:r>
      <w:r>
        <w:rPr>
          <w:rStyle w:val="normaltextrun"/>
          <w:rFonts w:ascii="Verdana" w:hAnsi="Verdana" w:cs="Segoe UI"/>
          <w:sz w:val="18"/>
          <w:szCs w:val="18"/>
          <w:u w:val="single"/>
        </w:rPr>
        <w:t>disse</w:t>
      </w:r>
      <w:r w:rsidRPr="006C4B42">
        <w:rPr>
          <w:rStyle w:val="normaltextrun"/>
          <w:rFonts w:ascii="Verdana" w:hAnsi="Verdana" w:cs="Segoe UI"/>
          <w:sz w:val="18"/>
          <w:szCs w:val="18"/>
          <w:u w:val="single"/>
        </w:rPr>
        <w:t xml:space="preserve"> før</w:t>
      </w:r>
      <w:r>
        <w:rPr>
          <w:rStyle w:val="normaltextrun"/>
          <w:rFonts w:ascii="Verdana" w:hAnsi="Verdana" w:cs="Segoe UI"/>
          <w:sz w:val="18"/>
          <w:szCs w:val="18"/>
          <w:u w:val="single"/>
        </w:rPr>
        <w:t>te</w:t>
      </w:r>
      <w:r w:rsidRPr="006C4B42">
        <w:rPr>
          <w:rStyle w:val="normaltextrun"/>
          <w:rFonts w:ascii="Verdana" w:hAnsi="Verdana" w:cs="Segoe UI"/>
          <w:sz w:val="18"/>
          <w:szCs w:val="18"/>
          <w:u w:val="single"/>
        </w:rPr>
        <w:t xml:space="preserve"> til hjertearytmier og hjertestans) er rapportert. De fleste </w:t>
      </w:r>
      <w:r>
        <w:rPr>
          <w:rStyle w:val="normaltextrun"/>
          <w:rFonts w:ascii="Verdana" w:hAnsi="Verdana" w:cs="Segoe UI"/>
          <w:sz w:val="18"/>
          <w:szCs w:val="18"/>
          <w:u w:val="single"/>
        </w:rPr>
        <w:t>tilfellene</w:t>
      </w:r>
      <w:r w:rsidRPr="006C4B42">
        <w:rPr>
          <w:rStyle w:val="normaltextrun"/>
          <w:rFonts w:ascii="Verdana" w:hAnsi="Verdana" w:cs="Segoe UI"/>
          <w:sz w:val="18"/>
          <w:szCs w:val="18"/>
          <w:u w:val="single"/>
        </w:rPr>
        <w:t xml:space="preserve"> oppsto hos pasienter med nedsatt nyrefunksjon, og noen tilfeller </w:t>
      </w:r>
      <w:r>
        <w:rPr>
          <w:rStyle w:val="normaltextrun"/>
          <w:rFonts w:ascii="Verdana" w:hAnsi="Verdana" w:cs="Segoe UI"/>
          <w:sz w:val="18"/>
          <w:szCs w:val="18"/>
          <w:u w:val="single"/>
        </w:rPr>
        <w:t xml:space="preserve">oppsto </w:t>
      </w:r>
      <w:r w:rsidRPr="006C4B42">
        <w:rPr>
          <w:rStyle w:val="normaltextrun"/>
          <w:rFonts w:ascii="Verdana" w:hAnsi="Verdana" w:cs="Segoe UI"/>
          <w:sz w:val="18"/>
          <w:szCs w:val="18"/>
          <w:u w:val="single"/>
        </w:rPr>
        <w:t>etter kaliumtilskudd hos pasienter med tidligere</w:t>
      </w:r>
      <w:r>
        <w:rPr>
          <w:rStyle w:val="normaltextrun"/>
          <w:rFonts w:ascii="Verdana" w:hAnsi="Verdana" w:cs="Segoe UI"/>
          <w:sz w:val="18"/>
          <w:szCs w:val="18"/>
          <w:u w:val="single"/>
        </w:rPr>
        <w:t xml:space="preserve"> påvist</w:t>
      </w:r>
      <w:r w:rsidRPr="006C4B42">
        <w:rPr>
          <w:rStyle w:val="normaltextrun"/>
          <w:rFonts w:ascii="Verdana" w:hAnsi="Verdana" w:cs="Segoe UI"/>
          <w:sz w:val="18"/>
          <w:szCs w:val="18"/>
          <w:u w:val="single"/>
        </w:rPr>
        <w:t xml:space="preserve"> hypokalemi. </w:t>
      </w:r>
      <w:r>
        <w:rPr>
          <w:rStyle w:val="normaltextrun"/>
          <w:rFonts w:ascii="Verdana" w:hAnsi="Verdana" w:cs="Segoe UI"/>
          <w:sz w:val="18"/>
          <w:szCs w:val="18"/>
          <w:u w:val="single"/>
        </w:rPr>
        <w:t>N</w:t>
      </w:r>
      <w:r w:rsidRPr="006C4B42">
        <w:rPr>
          <w:rStyle w:val="normaltextrun"/>
          <w:rFonts w:ascii="Verdana" w:hAnsi="Verdana" w:cs="Segoe UI"/>
          <w:sz w:val="18"/>
          <w:szCs w:val="18"/>
          <w:u w:val="single"/>
        </w:rPr>
        <w:t>yrefunksjon og laboratorieevaluering av kalium</w:t>
      </w:r>
      <w:r>
        <w:rPr>
          <w:rStyle w:val="normaltextrun"/>
          <w:rFonts w:ascii="Verdana" w:hAnsi="Verdana" w:cs="Segoe UI"/>
          <w:sz w:val="18"/>
          <w:szCs w:val="18"/>
          <w:u w:val="single"/>
        </w:rPr>
        <w:t xml:space="preserve"> bør derfor</w:t>
      </w:r>
      <w:r w:rsidRPr="006C4B42">
        <w:rPr>
          <w:rStyle w:val="normaltextrun"/>
          <w:rFonts w:ascii="Verdana" w:hAnsi="Verdana" w:cs="Segoe UI"/>
          <w:sz w:val="18"/>
          <w:szCs w:val="18"/>
          <w:u w:val="single"/>
        </w:rPr>
        <w:t xml:space="preserve"> måles før og under behandling. Dette er spesielt viktig hos pasienter med eksisterende nyresykdom, som allerede har opplevd nyresvikt, eller hos pasienter som samtidig får nefrotoksiske medisiner (se pkt. 4.5).</w:t>
      </w:r>
    </w:p>
    <w:p w14:paraId="0965B432"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u w:val="single"/>
        </w:rPr>
      </w:pPr>
    </w:p>
    <w:p w14:paraId="1DBEA108"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r w:rsidRPr="00F02104">
        <w:rPr>
          <w:rStyle w:val="normaltextrun"/>
          <w:rFonts w:ascii="Verdana" w:hAnsi="Verdana" w:cs="Segoe UI"/>
          <w:sz w:val="18"/>
          <w:szCs w:val="18"/>
        </w:rPr>
        <w:t>4.8 Bivirkninger</w:t>
      </w:r>
    </w:p>
    <w:p w14:paraId="35347298"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p>
    <w:p w14:paraId="381CFE05"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r>
        <w:rPr>
          <w:rStyle w:val="normaltextrun"/>
          <w:rFonts w:ascii="Verdana" w:hAnsi="Verdana" w:cs="Segoe UI"/>
          <w:sz w:val="18"/>
          <w:szCs w:val="18"/>
        </w:rPr>
        <w:t xml:space="preserve">Under organklassesystem </w:t>
      </w:r>
      <w:r w:rsidRPr="00C03197">
        <w:rPr>
          <w:rStyle w:val="normaltextrun"/>
          <w:rFonts w:ascii="Verdana" w:hAnsi="Verdana" w:cs="Segoe UI"/>
          <w:sz w:val="18"/>
          <w:szCs w:val="18"/>
        </w:rPr>
        <w:t>Stoffskifte- og ernæringsbetingede sykdommer</w:t>
      </w:r>
      <w:r>
        <w:rPr>
          <w:rStyle w:val="normaltextrun"/>
          <w:rFonts w:ascii="Verdana" w:hAnsi="Verdana" w:cs="Segoe UI"/>
          <w:sz w:val="18"/>
          <w:szCs w:val="18"/>
        </w:rPr>
        <w:t xml:space="preserve"> med frekvens «Vanlige»</w:t>
      </w:r>
    </w:p>
    <w:p w14:paraId="4B49E6A0"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p>
    <w:p w14:paraId="6D2155AC" w14:textId="77777777" w:rsidR="006E497A" w:rsidRPr="00572B73" w:rsidRDefault="006E497A" w:rsidP="006E497A">
      <w:pPr>
        <w:pStyle w:val="paragraph"/>
        <w:spacing w:before="0" w:beforeAutospacing="0" w:after="0" w:afterAutospacing="0"/>
        <w:textAlignment w:val="baseline"/>
        <w:rPr>
          <w:rStyle w:val="normaltextrun"/>
          <w:rFonts w:ascii="Verdana" w:hAnsi="Verdana" w:cs="Segoe UI"/>
          <w:sz w:val="18"/>
          <w:szCs w:val="18"/>
          <w:u w:val="single"/>
        </w:rPr>
      </w:pPr>
      <w:r w:rsidRPr="00572B73">
        <w:rPr>
          <w:rStyle w:val="normaltextrun"/>
          <w:rFonts w:ascii="Verdana" w:hAnsi="Verdana" w:cs="Segoe UI"/>
          <w:sz w:val="18"/>
          <w:szCs w:val="18"/>
          <w:u w:val="single"/>
        </w:rPr>
        <w:t>Hyperkalemi</w:t>
      </w:r>
    </w:p>
    <w:p w14:paraId="32E0A79D" w14:textId="77777777" w:rsidR="006E497A" w:rsidRDefault="006E497A" w:rsidP="006E497A">
      <w:pPr>
        <w:pStyle w:val="paragraph"/>
        <w:spacing w:before="0" w:beforeAutospacing="0" w:after="0" w:afterAutospacing="0"/>
        <w:textAlignment w:val="baseline"/>
        <w:rPr>
          <w:rStyle w:val="eop"/>
          <w:rFonts w:ascii="Verdana" w:hAnsi="Verdana" w:cs="Segoe UI"/>
          <w:sz w:val="18"/>
          <w:szCs w:val="18"/>
        </w:rPr>
      </w:pPr>
      <w:r>
        <w:rPr>
          <w:rStyle w:val="scxw97307531"/>
          <w:rFonts w:ascii="Verdana" w:hAnsi="Verdana" w:cs="Segoe UI"/>
          <w:sz w:val="18"/>
          <w:szCs w:val="18"/>
        </w:rPr>
        <w:t> </w:t>
      </w:r>
      <w:r>
        <w:rPr>
          <w:rFonts w:ascii="Verdana" w:hAnsi="Verdana" w:cs="Segoe UI"/>
          <w:sz w:val="18"/>
          <w:szCs w:val="18"/>
        </w:rPr>
        <w:br/>
      </w:r>
      <w:r w:rsidRPr="00470F62">
        <w:rPr>
          <w:rStyle w:val="normaltextrun"/>
          <w:rFonts w:ascii="Verdana" w:hAnsi="Verdana" w:cs="Segoe UI"/>
          <w:b/>
          <w:bCs/>
          <w:sz w:val="18"/>
          <w:szCs w:val="18"/>
        </w:rPr>
        <w:t>Pakningsvedlegg</w:t>
      </w:r>
      <w:r>
        <w:rPr>
          <w:rStyle w:val="eop"/>
          <w:rFonts w:ascii="Verdana" w:hAnsi="Verdana" w:cs="Segoe UI"/>
          <w:sz w:val="18"/>
          <w:szCs w:val="18"/>
        </w:rPr>
        <w:t> </w:t>
      </w:r>
    </w:p>
    <w:p w14:paraId="6F8AFCE3" w14:textId="77777777" w:rsidR="006E497A" w:rsidRDefault="006E497A" w:rsidP="006E497A">
      <w:pPr>
        <w:pStyle w:val="paragraph"/>
        <w:spacing w:before="0" w:beforeAutospacing="0" w:after="0" w:afterAutospacing="0"/>
        <w:textAlignment w:val="baseline"/>
        <w:rPr>
          <w:rStyle w:val="eop"/>
          <w:rFonts w:ascii="Verdana" w:hAnsi="Verdana" w:cs="Segoe UI"/>
          <w:sz w:val="18"/>
          <w:szCs w:val="18"/>
        </w:rPr>
      </w:pPr>
    </w:p>
    <w:p w14:paraId="42147BEA" w14:textId="77777777" w:rsidR="006E497A" w:rsidRDefault="006E497A" w:rsidP="006E497A">
      <w:pPr>
        <w:pStyle w:val="paragraph"/>
        <w:spacing w:before="0" w:beforeAutospacing="0" w:after="0" w:afterAutospacing="0"/>
        <w:textAlignment w:val="baseline"/>
        <w:rPr>
          <w:rFonts w:ascii="Segoe UI" w:hAnsi="Segoe UI" w:cs="Segoe UI"/>
          <w:sz w:val="18"/>
          <w:szCs w:val="18"/>
        </w:rPr>
      </w:pPr>
      <w:r w:rsidRPr="006C3076">
        <w:rPr>
          <w:rFonts w:ascii="Segoe UI" w:hAnsi="Segoe UI" w:cs="Segoe UI"/>
          <w:sz w:val="18"/>
          <w:szCs w:val="18"/>
        </w:rPr>
        <w:t>2. Hva du må vite før du får AmBisome liposomal</w:t>
      </w:r>
    </w:p>
    <w:p w14:paraId="26E285C5" w14:textId="77777777" w:rsidR="006E497A" w:rsidRDefault="006E497A" w:rsidP="006E497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r>
      <w:r w:rsidRPr="007D2906">
        <w:rPr>
          <w:rFonts w:ascii="Segoe UI" w:hAnsi="Segoe UI" w:cs="Segoe UI"/>
          <w:sz w:val="18"/>
          <w:szCs w:val="18"/>
        </w:rPr>
        <w:t>Legen skal vise forsiktighet ved bruk av AmBisome liposomal</w:t>
      </w:r>
    </w:p>
    <w:p w14:paraId="5B328E29" w14:textId="77777777" w:rsidR="006E497A" w:rsidRDefault="006E497A" w:rsidP="006E497A">
      <w:pPr>
        <w:pStyle w:val="paragraph"/>
        <w:spacing w:before="0" w:beforeAutospacing="0" w:after="0" w:afterAutospacing="0"/>
        <w:textAlignment w:val="baseline"/>
        <w:rPr>
          <w:rFonts w:ascii="Segoe UI" w:hAnsi="Segoe UI" w:cs="Segoe UI"/>
          <w:sz w:val="18"/>
          <w:szCs w:val="18"/>
        </w:rPr>
      </w:pPr>
    </w:p>
    <w:p w14:paraId="3D84B28E" w14:textId="7A6F7C6D" w:rsidR="006E497A" w:rsidRPr="006E497A" w:rsidRDefault="006E497A" w:rsidP="006E497A">
      <w:pPr>
        <w:pStyle w:val="Listeavsnitt"/>
        <w:numPr>
          <w:ilvl w:val="0"/>
          <w:numId w:val="7"/>
        </w:numPr>
        <w:rPr>
          <w:rFonts w:ascii="Verdana" w:hAnsi="Verdana"/>
          <w:sz w:val="18"/>
          <w:szCs w:val="18"/>
        </w:rPr>
      </w:pPr>
      <w:r w:rsidRPr="006E497A">
        <w:rPr>
          <w:rFonts w:ascii="Verdana" w:hAnsi="Verdana"/>
          <w:b/>
          <w:bCs/>
          <w:sz w:val="18"/>
          <w:szCs w:val="18"/>
        </w:rPr>
        <w:t xml:space="preserve">hvis du bruker andre legemidler som kan gi nyreskade, </w:t>
      </w:r>
      <w:r w:rsidRPr="006E497A">
        <w:rPr>
          <w:rFonts w:ascii="Verdana" w:hAnsi="Verdana"/>
          <w:sz w:val="18"/>
          <w:szCs w:val="18"/>
        </w:rPr>
        <w:t xml:space="preserve">se avsnittet Andre legemidler og Ambisome liposomal. AmBisome liposomal kan gi nyreskade. Legen eller en sykepleier vil </w:t>
      </w:r>
      <w:r w:rsidRPr="006E497A">
        <w:rPr>
          <w:rFonts w:ascii="Verdana" w:hAnsi="Verdana"/>
          <w:strike/>
          <w:sz w:val="18"/>
          <w:szCs w:val="18"/>
        </w:rPr>
        <w:t>regelmessig</w:t>
      </w:r>
      <w:r w:rsidRPr="006E497A">
        <w:rPr>
          <w:rFonts w:ascii="Verdana" w:hAnsi="Verdana"/>
          <w:sz w:val="18"/>
          <w:szCs w:val="18"/>
        </w:rPr>
        <w:t xml:space="preserve"> ta blodprøver for å sjekke kreatinin (en substans i blodet som gjenspeiler nyrefunksjonen) og elektrolyttnivåer (spesielt kalium og magnesium) </w:t>
      </w:r>
      <w:r w:rsidRPr="006E497A">
        <w:rPr>
          <w:rFonts w:ascii="Verdana" w:hAnsi="Verdana"/>
          <w:sz w:val="18"/>
          <w:szCs w:val="18"/>
          <w:u w:val="single"/>
        </w:rPr>
        <w:t xml:space="preserve">før og </w:t>
      </w:r>
      <w:r w:rsidR="002755C1">
        <w:rPr>
          <w:rFonts w:ascii="Verdana" w:hAnsi="Verdana"/>
          <w:sz w:val="18"/>
          <w:szCs w:val="18"/>
          <w:u w:val="single"/>
        </w:rPr>
        <w:t xml:space="preserve">under </w:t>
      </w:r>
      <w:r w:rsidRPr="006E497A">
        <w:rPr>
          <w:rFonts w:ascii="Verdana" w:hAnsi="Verdana"/>
          <w:sz w:val="18"/>
          <w:szCs w:val="18"/>
          <w:u w:val="single"/>
        </w:rPr>
        <w:lastRenderedPageBreak/>
        <w:t>behandling med Ambisome</w:t>
      </w:r>
      <w:r w:rsidRPr="006E497A">
        <w:rPr>
          <w:rFonts w:ascii="Verdana" w:hAnsi="Verdana"/>
          <w:sz w:val="18"/>
          <w:szCs w:val="18"/>
        </w:rPr>
        <w:t xml:space="preserve"> fordi disse kan være unormale som følge av nedsatt nyrefunksjon. Dette er spesielt viktig hvis </w:t>
      </w:r>
      <w:r w:rsidRPr="006E497A">
        <w:rPr>
          <w:rFonts w:ascii="Verdana" w:hAnsi="Verdana"/>
          <w:sz w:val="18"/>
          <w:szCs w:val="18"/>
          <w:u w:val="single"/>
        </w:rPr>
        <w:t>du tidligere har fått påvist nyreskade eller</w:t>
      </w:r>
      <w:r w:rsidRPr="006E497A">
        <w:rPr>
          <w:rFonts w:ascii="Verdana" w:hAnsi="Verdana"/>
          <w:sz w:val="18"/>
          <w:szCs w:val="18"/>
        </w:rPr>
        <w:t xml:space="preserve"> bruker andre legemidler som kan gi nyreskade. Blodprøvene vil også bli sjekket for endringer i leverfunksjon og kroppens evne til å produsere nye blodceller og blodplater. </w:t>
      </w:r>
      <w:r w:rsidRPr="006E497A">
        <w:rPr>
          <w:rFonts w:ascii="Verdana" w:hAnsi="Verdana"/>
          <w:b/>
          <w:bCs/>
          <w:sz w:val="18"/>
          <w:szCs w:val="18"/>
        </w:rPr>
        <w:t>Hvis blodprøvesvar viser endring i nyrefunksjonen</w:t>
      </w:r>
      <w:r w:rsidRPr="006E497A">
        <w:rPr>
          <w:rFonts w:ascii="Verdana" w:hAnsi="Verdana"/>
          <w:sz w:val="18"/>
          <w:szCs w:val="18"/>
        </w:rPr>
        <w:t xml:space="preserve"> eller andre viktige endringer kan legen gi deg en lavere dose av AmBisome liposomal eller avbryte behandlingen.</w:t>
      </w:r>
    </w:p>
    <w:p w14:paraId="26C2CE80" w14:textId="77777777" w:rsidR="006E497A" w:rsidRPr="006E497A" w:rsidRDefault="006E497A" w:rsidP="006E497A">
      <w:pPr>
        <w:pStyle w:val="Listeavsnitt"/>
        <w:numPr>
          <w:ilvl w:val="0"/>
          <w:numId w:val="7"/>
        </w:numPr>
        <w:rPr>
          <w:rFonts w:ascii="Verdana" w:hAnsi="Verdana"/>
          <w:sz w:val="18"/>
          <w:szCs w:val="18"/>
        </w:rPr>
      </w:pPr>
      <w:r w:rsidRPr="006E497A">
        <w:rPr>
          <w:rFonts w:ascii="Verdana" w:hAnsi="Verdana"/>
          <w:b/>
          <w:bCs/>
          <w:sz w:val="18"/>
          <w:szCs w:val="18"/>
        </w:rPr>
        <w:t>hvis blodprøvesvar viser at nivået av kalium i blodet ditt er lavt</w:t>
      </w:r>
      <w:r w:rsidRPr="006E497A">
        <w:rPr>
          <w:rFonts w:ascii="Verdana" w:hAnsi="Verdana"/>
          <w:sz w:val="18"/>
          <w:szCs w:val="18"/>
        </w:rPr>
        <w:t>. Hvis dette skjer kan legen foreskrive et kaliumtilskudd til deg mens du får AmBisome liposomal.</w:t>
      </w:r>
    </w:p>
    <w:p w14:paraId="1A78C0F8" w14:textId="77777777" w:rsidR="006E497A" w:rsidRPr="006E497A" w:rsidRDefault="006E497A" w:rsidP="006E497A">
      <w:pPr>
        <w:pStyle w:val="Listeavsnitt"/>
        <w:numPr>
          <w:ilvl w:val="0"/>
          <w:numId w:val="7"/>
        </w:numPr>
        <w:rPr>
          <w:rFonts w:ascii="Verdana" w:hAnsi="Verdana"/>
          <w:sz w:val="18"/>
          <w:szCs w:val="18"/>
          <w:u w:val="single"/>
        </w:rPr>
      </w:pPr>
      <w:r w:rsidRPr="006E497A">
        <w:rPr>
          <w:rFonts w:ascii="Verdana" w:hAnsi="Verdana"/>
          <w:b/>
          <w:bCs/>
          <w:sz w:val="18"/>
          <w:szCs w:val="18"/>
          <w:u w:val="single"/>
        </w:rPr>
        <w:t>hvis blodprøvesvar viser at nivået av kalium i blodet ditt er høyt</w:t>
      </w:r>
      <w:r w:rsidRPr="006E497A">
        <w:rPr>
          <w:rFonts w:ascii="Verdana" w:hAnsi="Verdana"/>
          <w:sz w:val="18"/>
          <w:szCs w:val="18"/>
          <w:u w:val="single"/>
        </w:rPr>
        <w:t xml:space="preserve"> kan du få uregelmessig hjerterytme, noen ganger alvorlig.</w:t>
      </w:r>
    </w:p>
    <w:p w14:paraId="258FB3FA" w14:textId="77777777" w:rsidR="006E497A" w:rsidRPr="006E497A" w:rsidRDefault="006E497A" w:rsidP="006E497A">
      <w:pPr>
        <w:rPr>
          <w:rFonts w:ascii="Verdana" w:hAnsi="Verdana"/>
          <w:sz w:val="18"/>
          <w:szCs w:val="18"/>
        </w:rPr>
      </w:pPr>
      <w:r w:rsidRPr="009821BD">
        <w:t xml:space="preserve">4. </w:t>
      </w:r>
      <w:r w:rsidRPr="006E497A">
        <w:rPr>
          <w:rFonts w:ascii="Verdana" w:hAnsi="Verdana"/>
          <w:sz w:val="18"/>
          <w:szCs w:val="18"/>
        </w:rPr>
        <w:t>Mulige bivirkninger</w:t>
      </w:r>
    </w:p>
    <w:p w14:paraId="14F8350C" w14:textId="77777777" w:rsidR="006E497A" w:rsidRPr="006E497A" w:rsidRDefault="006E497A" w:rsidP="006E497A">
      <w:pPr>
        <w:pStyle w:val="Listeavsnitt"/>
        <w:numPr>
          <w:ilvl w:val="0"/>
          <w:numId w:val="8"/>
        </w:numPr>
        <w:rPr>
          <w:rFonts w:ascii="Verdana" w:hAnsi="Verdana"/>
          <w:sz w:val="18"/>
          <w:szCs w:val="18"/>
        </w:rPr>
      </w:pPr>
      <w:r w:rsidRPr="006E497A">
        <w:rPr>
          <w:rFonts w:ascii="Verdana" w:hAnsi="Verdana"/>
          <w:sz w:val="18"/>
          <w:szCs w:val="18"/>
        </w:rPr>
        <w:t>Vanlige bivirkninger (kan ramme opptil 1 av 10 behandlede pasienter)</w:t>
      </w:r>
    </w:p>
    <w:p w14:paraId="1117BBD1" w14:textId="77777777" w:rsidR="006E497A" w:rsidRPr="006E497A" w:rsidRDefault="006E497A" w:rsidP="006E497A">
      <w:pPr>
        <w:pStyle w:val="Listeavsnitt"/>
        <w:numPr>
          <w:ilvl w:val="0"/>
          <w:numId w:val="8"/>
        </w:numPr>
        <w:rPr>
          <w:rFonts w:ascii="Verdana" w:hAnsi="Verdana"/>
          <w:sz w:val="18"/>
          <w:szCs w:val="18"/>
        </w:rPr>
      </w:pPr>
      <w:r w:rsidRPr="006E497A">
        <w:rPr>
          <w:rFonts w:ascii="Verdana" w:hAnsi="Verdana"/>
          <w:sz w:val="18"/>
          <w:szCs w:val="18"/>
        </w:rPr>
        <w:t>……</w:t>
      </w:r>
    </w:p>
    <w:p w14:paraId="568D0C14" w14:textId="77777777" w:rsidR="006E497A" w:rsidRPr="006E497A" w:rsidRDefault="006E497A" w:rsidP="006E497A">
      <w:pPr>
        <w:pStyle w:val="Listeavsnitt"/>
        <w:numPr>
          <w:ilvl w:val="0"/>
          <w:numId w:val="8"/>
        </w:numPr>
        <w:rPr>
          <w:rFonts w:ascii="Verdana" w:hAnsi="Verdana"/>
          <w:sz w:val="18"/>
          <w:szCs w:val="18"/>
          <w:u w:val="single"/>
        </w:rPr>
      </w:pPr>
      <w:r w:rsidRPr="006E497A">
        <w:rPr>
          <w:rFonts w:ascii="Verdana" w:hAnsi="Verdana"/>
          <w:sz w:val="18"/>
          <w:szCs w:val="18"/>
          <w:u w:val="single"/>
        </w:rPr>
        <w:t>Høyt nivå av kalium i blodet</w:t>
      </w:r>
    </w:p>
    <w:p w14:paraId="7C153C38" w14:textId="77777777" w:rsidR="006E497A" w:rsidRDefault="006E497A" w:rsidP="006E497A"/>
    <w:p w14:paraId="55B43232" w14:textId="77777777" w:rsidR="006E497A" w:rsidRPr="00A15531" w:rsidRDefault="006E497A" w:rsidP="006E497A">
      <w:pPr>
        <w:pStyle w:val="Heading1Agency"/>
        <w:numPr>
          <w:ilvl w:val="0"/>
          <w:numId w:val="0"/>
        </w:numPr>
        <w:rPr>
          <w:sz w:val="20"/>
          <w:szCs w:val="20"/>
          <w:lang w:val="nb-NO"/>
        </w:rPr>
      </w:pPr>
      <w:r w:rsidRPr="00A15531">
        <w:rPr>
          <w:sz w:val="20"/>
          <w:szCs w:val="20"/>
          <w:lang w:val="nb-NO"/>
        </w:rPr>
        <w:t>Abelcet 5 mg/ml infusjonsvæske, suspensjon*</w:t>
      </w:r>
    </w:p>
    <w:p w14:paraId="7CF679C2" w14:textId="77777777" w:rsidR="006E497A" w:rsidRDefault="006E497A" w:rsidP="006E497A">
      <w:pPr>
        <w:pStyle w:val="paragraph"/>
        <w:spacing w:before="0" w:beforeAutospacing="0" w:after="0" w:afterAutospacing="0"/>
        <w:textAlignment w:val="baseline"/>
        <w:rPr>
          <w:rStyle w:val="eop"/>
          <w:rFonts w:ascii="Verdana" w:hAnsi="Verdana" w:cs="Segoe UI"/>
          <w:sz w:val="18"/>
          <w:szCs w:val="18"/>
        </w:rPr>
      </w:pPr>
      <w:r>
        <w:rPr>
          <w:rStyle w:val="normaltextrun"/>
          <w:rFonts w:ascii="Verdana" w:hAnsi="Verdana" w:cs="Segoe UI"/>
          <w:b/>
          <w:bCs/>
          <w:sz w:val="18"/>
          <w:szCs w:val="18"/>
        </w:rPr>
        <w:t>Preparatomtale</w:t>
      </w:r>
      <w:r>
        <w:rPr>
          <w:rStyle w:val="eop"/>
          <w:rFonts w:ascii="Verdana" w:hAnsi="Verdana" w:cs="Segoe UI"/>
          <w:sz w:val="18"/>
          <w:szCs w:val="18"/>
        </w:rPr>
        <w:t> </w:t>
      </w:r>
    </w:p>
    <w:p w14:paraId="16AA0044" w14:textId="77777777" w:rsidR="006E497A" w:rsidRPr="00FE59D4" w:rsidRDefault="006E497A" w:rsidP="006E497A"/>
    <w:p w14:paraId="12D8DCB0" w14:textId="220551B1" w:rsidR="006E497A" w:rsidRPr="001060C4" w:rsidRDefault="006E497A" w:rsidP="006E497A">
      <w:pPr>
        <w:pStyle w:val="paragraph"/>
        <w:spacing w:before="0" w:beforeAutospacing="0" w:after="0" w:afterAutospacing="0"/>
        <w:textAlignment w:val="baseline"/>
        <w:rPr>
          <w:rStyle w:val="normaltextrun"/>
          <w:rFonts w:ascii="Verdana" w:hAnsi="Verdana"/>
          <w:sz w:val="18"/>
          <w:szCs w:val="18"/>
        </w:rPr>
      </w:pPr>
      <w:r w:rsidRPr="001060C4">
        <w:rPr>
          <w:rStyle w:val="normaltextrun"/>
          <w:rFonts w:ascii="Verdana" w:hAnsi="Verdana"/>
          <w:sz w:val="18"/>
          <w:szCs w:val="18"/>
        </w:rPr>
        <w:t>4.4 Advarsler og forsiktighetsregler</w:t>
      </w:r>
      <w:r>
        <w:rPr>
          <w:rStyle w:val="normaltextrun"/>
          <w:rFonts w:ascii="Verdana" w:hAnsi="Verdana"/>
          <w:sz w:val="18"/>
          <w:szCs w:val="18"/>
        </w:rPr>
        <w:br/>
      </w:r>
      <w:r>
        <w:rPr>
          <w:rStyle w:val="normaltextrun"/>
          <w:rFonts w:ascii="Verdana" w:hAnsi="Verdana"/>
          <w:sz w:val="18"/>
          <w:szCs w:val="18"/>
        </w:rPr>
        <w:br/>
      </w:r>
      <w:r w:rsidRPr="00FE59D4">
        <w:rPr>
          <w:rStyle w:val="normaltextrun"/>
          <w:rFonts w:ascii="Verdana" w:hAnsi="Verdana" w:cs="Segoe UI"/>
          <w:sz w:val="18"/>
          <w:szCs w:val="18"/>
        </w:rPr>
        <w:t xml:space="preserve">Siden Abelcet er et potensielt nefrotoksisk legemiddel, bør overvåking av nyrefunksjonen utføres før behandlingsstart </w:t>
      </w:r>
      <w:r w:rsidRPr="008534CB">
        <w:rPr>
          <w:rStyle w:val="normaltextrun"/>
          <w:rFonts w:ascii="Verdana" w:hAnsi="Verdana" w:cs="Segoe UI"/>
          <w:sz w:val="18"/>
          <w:szCs w:val="18"/>
          <w:u w:val="single"/>
        </w:rPr>
        <w:t>og under behandlingen</w:t>
      </w:r>
      <w:r w:rsidRPr="00FE59D4">
        <w:rPr>
          <w:rStyle w:val="normaltextrun"/>
          <w:rFonts w:ascii="Verdana" w:hAnsi="Verdana" w:cs="Segoe UI"/>
          <w:sz w:val="18"/>
          <w:szCs w:val="18"/>
        </w:rPr>
        <w:t xml:space="preserve">. Dette er spesielt viktig hos pasienter med eksisterende nyresykdom, </w:t>
      </w:r>
      <w:r w:rsidRPr="008534CB">
        <w:rPr>
          <w:rStyle w:val="normaltextrun"/>
          <w:rFonts w:ascii="Verdana" w:hAnsi="Verdana" w:cs="Segoe UI"/>
          <w:strike/>
          <w:sz w:val="18"/>
          <w:szCs w:val="18"/>
        </w:rPr>
        <w:t>eller</w:t>
      </w:r>
      <w:r w:rsidRPr="00FE59D4">
        <w:rPr>
          <w:rStyle w:val="normaltextrun"/>
          <w:rFonts w:ascii="Verdana" w:hAnsi="Verdana" w:cs="Segoe UI"/>
          <w:sz w:val="18"/>
          <w:szCs w:val="18"/>
        </w:rPr>
        <w:t xml:space="preserve"> som allerede har opplevd nyresvikt, </w:t>
      </w:r>
      <w:r w:rsidRPr="00E27D24">
        <w:rPr>
          <w:rStyle w:val="normaltextrun"/>
          <w:rFonts w:ascii="Verdana" w:hAnsi="Verdana" w:cs="Segoe UI"/>
          <w:sz w:val="18"/>
          <w:szCs w:val="18"/>
          <w:u w:val="single"/>
        </w:rPr>
        <w:t>eller hos pasienter som får nefrotoksiske medisiner.</w:t>
      </w:r>
      <w:r w:rsidRPr="00FE59D4">
        <w:rPr>
          <w:rStyle w:val="normaltextrun"/>
          <w:rFonts w:ascii="Verdana" w:hAnsi="Verdana" w:cs="Segoe UI"/>
          <w:sz w:val="18"/>
          <w:szCs w:val="18"/>
        </w:rPr>
        <w:t xml:space="preserve"> Laboratorieevaluering av serumelektrolytter, spesielt kalium, </w:t>
      </w:r>
      <w:r w:rsidRPr="00A90EBE">
        <w:rPr>
          <w:rStyle w:val="normaltextrun"/>
          <w:rFonts w:ascii="Verdana" w:hAnsi="Verdana" w:cs="Segoe UI"/>
          <w:strike/>
          <w:sz w:val="18"/>
          <w:szCs w:val="18"/>
        </w:rPr>
        <w:t>samt nyrefunksjon</w:t>
      </w:r>
      <w:r w:rsidRPr="00FE59D4">
        <w:rPr>
          <w:rStyle w:val="normaltextrun"/>
          <w:rFonts w:ascii="Verdana" w:hAnsi="Verdana" w:cs="Segoe UI"/>
          <w:sz w:val="18"/>
          <w:szCs w:val="18"/>
        </w:rPr>
        <w:t xml:space="preserve"> bør utføres regelmessig </w:t>
      </w:r>
      <w:r w:rsidRPr="0011268E">
        <w:rPr>
          <w:rStyle w:val="normaltextrun"/>
          <w:rFonts w:ascii="Verdana" w:hAnsi="Verdana" w:cs="Segoe UI"/>
          <w:sz w:val="18"/>
          <w:szCs w:val="18"/>
          <w:u w:val="single"/>
        </w:rPr>
        <w:t>før og</w:t>
      </w:r>
      <w:r w:rsidRPr="00FE59D4">
        <w:rPr>
          <w:rStyle w:val="normaltextrun"/>
          <w:rFonts w:ascii="Verdana" w:hAnsi="Verdana" w:cs="Segoe UI"/>
          <w:sz w:val="18"/>
          <w:szCs w:val="18"/>
        </w:rPr>
        <w:t xml:space="preserve"> under behandlingen. </w:t>
      </w:r>
      <w:r w:rsidRPr="006C4B42">
        <w:rPr>
          <w:rStyle w:val="normaltextrun"/>
          <w:rFonts w:ascii="Verdana" w:hAnsi="Verdana" w:cs="Segoe UI"/>
          <w:sz w:val="18"/>
          <w:szCs w:val="18"/>
          <w:u w:val="single"/>
        </w:rPr>
        <w:t xml:space="preserve">Tilfeller av hyperkalemi (noen av </w:t>
      </w:r>
      <w:r>
        <w:rPr>
          <w:rStyle w:val="normaltextrun"/>
          <w:rFonts w:ascii="Verdana" w:hAnsi="Verdana" w:cs="Segoe UI"/>
          <w:sz w:val="18"/>
          <w:szCs w:val="18"/>
          <w:u w:val="single"/>
        </w:rPr>
        <w:t>disse</w:t>
      </w:r>
      <w:r w:rsidRPr="006C4B42">
        <w:rPr>
          <w:rStyle w:val="normaltextrun"/>
          <w:rFonts w:ascii="Verdana" w:hAnsi="Verdana" w:cs="Segoe UI"/>
          <w:sz w:val="18"/>
          <w:szCs w:val="18"/>
          <w:u w:val="single"/>
        </w:rPr>
        <w:t xml:space="preserve"> før</w:t>
      </w:r>
      <w:r>
        <w:rPr>
          <w:rStyle w:val="normaltextrun"/>
          <w:rFonts w:ascii="Verdana" w:hAnsi="Verdana" w:cs="Segoe UI"/>
          <w:sz w:val="18"/>
          <w:szCs w:val="18"/>
          <w:u w:val="single"/>
        </w:rPr>
        <w:t>te</w:t>
      </w:r>
      <w:r w:rsidRPr="006C4B42">
        <w:rPr>
          <w:rStyle w:val="normaltextrun"/>
          <w:rFonts w:ascii="Verdana" w:hAnsi="Verdana" w:cs="Segoe UI"/>
          <w:sz w:val="18"/>
          <w:szCs w:val="18"/>
          <w:u w:val="single"/>
        </w:rPr>
        <w:t xml:space="preserve"> til hjertearytmier og hjertestans) er rapportert. De fleste </w:t>
      </w:r>
      <w:r>
        <w:rPr>
          <w:rStyle w:val="normaltextrun"/>
          <w:rFonts w:ascii="Verdana" w:hAnsi="Verdana" w:cs="Segoe UI"/>
          <w:sz w:val="18"/>
          <w:szCs w:val="18"/>
          <w:u w:val="single"/>
        </w:rPr>
        <w:t>tilfellene</w:t>
      </w:r>
      <w:r w:rsidRPr="006C4B42">
        <w:rPr>
          <w:rStyle w:val="normaltextrun"/>
          <w:rFonts w:ascii="Verdana" w:hAnsi="Verdana" w:cs="Segoe UI"/>
          <w:sz w:val="18"/>
          <w:szCs w:val="18"/>
          <w:u w:val="single"/>
        </w:rPr>
        <w:t xml:space="preserve"> oppsto hos pasienter med nedsatt nyrefunksjon, og noen tilfeller </w:t>
      </w:r>
      <w:r>
        <w:rPr>
          <w:rStyle w:val="normaltextrun"/>
          <w:rFonts w:ascii="Verdana" w:hAnsi="Verdana" w:cs="Segoe UI"/>
          <w:sz w:val="18"/>
          <w:szCs w:val="18"/>
          <w:u w:val="single"/>
        </w:rPr>
        <w:t xml:space="preserve">oppsto </w:t>
      </w:r>
      <w:r w:rsidRPr="006C4B42">
        <w:rPr>
          <w:rStyle w:val="normaltextrun"/>
          <w:rFonts w:ascii="Verdana" w:hAnsi="Verdana" w:cs="Segoe UI"/>
          <w:sz w:val="18"/>
          <w:szCs w:val="18"/>
          <w:u w:val="single"/>
        </w:rPr>
        <w:t>etter kaliumtilskudd hos pasienter med tidligere</w:t>
      </w:r>
      <w:r>
        <w:rPr>
          <w:rStyle w:val="normaltextrun"/>
          <w:rFonts w:ascii="Verdana" w:hAnsi="Verdana" w:cs="Segoe UI"/>
          <w:sz w:val="18"/>
          <w:szCs w:val="18"/>
          <w:u w:val="single"/>
        </w:rPr>
        <w:t xml:space="preserve"> påvist</w:t>
      </w:r>
      <w:r w:rsidRPr="006C4B42">
        <w:rPr>
          <w:rStyle w:val="normaltextrun"/>
          <w:rFonts w:ascii="Verdana" w:hAnsi="Verdana" w:cs="Segoe UI"/>
          <w:sz w:val="18"/>
          <w:szCs w:val="18"/>
          <w:u w:val="single"/>
        </w:rPr>
        <w:t xml:space="preserve"> hypokalemi.</w:t>
      </w:r>
    </w:p>
    <w:p w14:paraId="24971751" w14:textId="77777777" w:rsidR="006E497A" w:rsidRDefault="006E497A" w:rsidP="006E497A"/>
    <w:p w14:paraId="53664DED"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r w:rsidRPr="00F02104">
        <w:rPr>
          <w:rStyle w:val="normaltextrun"/>
          <w:rFonts w:ascii="Verdana" w:hAnsi="Verdana" w:cs="Segoe UI"/>
          <w:sz w:val="18"/>
          <w:szCs w:val="18"/>
        </w:rPr>
        <w:t>4.8 Bivirkninger</w:t>
      </w:r>
    </w:p>
    <w:p w14:paraId="16C84C3A"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p>
    <w:p w14:paraId="1D20F95B"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r>
        <w:rPr>
          <w:rStyle w:val="normaltextrun"/>
          <w:rFonts w:ascii="Verdana" w:hAnsi="Verdana" w:cs="Segoe UI"/>
          <w:sz w:val="18"/>
          <w:szCs w:val="18"/>
        </w:rPr>
        <w:t xml:space="preserve">Under organklassesystem </w:t>
      </w:r>
      <w:r w:rsidRPr="00C03197">
        <w:rPr>
          <w:rStyle w:val="normaltextrun"/>
          <w:rFonts w:ascii="Verdana" w:hAnsi="Verdana" w:cs="Segoe UI"/>
          <w:sz w:val="18"/>
          <w:szCs w:val="18"/>
        </w:rPr>
        <w:t>Stoffskifte- og ernæringsbetingede sykdommer</w:t>
      </w:r>
      <w:r>
        <w:rPr>
          <w:rStyle w:val="normaltextrun"/>
          <w:rFonts w:ascii="Verdana" w:hAnsi="Verdana" w:cs="Segoe UI"/>
          <w:sz w:val="18"/>
          <w:szCs w:val="18"/>
        </w:rPr>
        <w:t xml:space="preserve"> med frekvens «Vanlig»</w:t>
      </w:r>
    </w:p>
    <w:p w14:paraId="150AD8F3" w14:textId="77777777" w:rsidR="006E497A" w:rsidRDefault="006E497A" w:rsidP="006E497A">
      <w:pPr>
        <w:pStyle w:val="paragraph"/>
        <w:spacing w:before="0" w:beforeAutospacing="0" w:after="0" w:afterAutospacing="0"/>
        <w:textAlignment w:val="baseline"/>
        <w:rPr>
          <w:rStyle w:val="normaltextrun"/>
          <w:rFonts w:ascii="Verdana" w:hAnsi="Verdana" w:cs="Segoe UI"/>
          <w:sz w:val="18"/>
          <w:szCs w:val="18"/>
        </w:rPr>
      </w:pPr>
    </w:p>
    <w:p w14:paraId="5C31A14A" w14:textId="77777777" w:rsidR="006E497A" w:rsidRPr="00572B73" w:rsidRDefault="006E497A" w:rsidP="006E497A">
      <w:pPr>
        <w:pStyle w:val="paragraph"/>
        <w:spacing w:before="0" w:beforeAutospacing="0" w:after="0" w:afterAutospacing="0"/>
        <w:textAlignment w:val="baseline"/>
        <w:rPr>
          <w:rStyle w:val="normaltextrun"/>
          <w:rFonts w:ascii="Verdana" w:hAnsi="Verdana" w:cs="Segoe UI"/>
          <w:sz w:val="18"/>
          <w:szCs w:val="18"/>
          <w:u w:val="single"/>
        </w:rPr>
      </w:pPr>
      <w:r w:rsidRPr="00572B73">
        <w:rPr>
          <w:rStyle w:val="normaltextrun"/>
          <w:rFonts w:ascii="Verdana" w:hAnsi="Verdana" w:cs="Segoe UI"/>
          <w:sz w:val="18"/>
          <w:szCs w:val="18"/>
          <w:u w:val="single"/>
        </w:rPr>
        <w:t>Hyperkalemi</w:t>
      </w:r>
      <w:r>
        <w:rPr>
          <w:rStyle w:val="normaltextrun"/>
          <w:rFonts w:ascii="Verdana" w:hAnsi="Verdana" w:cs="Segoe UI"/>
          <w:sz w:val="18"/>
          <w:szCs w:val="18"/>
          <w:u w:val="single"/>
        </w:rPr>
        <w:t>*</w:t>
      </w:r>
    </w:p>
    <w:p w14:paraId="77058ADE" w14:textId="77777777" w:rsidR="006E497A" w:rsidRDefault="006E497A" w:rsidP="006E497A"/>
    <w:p w14:paraId="2AAD5193" w14:textId="77777777" w:rsidR="006E497A" w:rsidRDefault="006E497A" w:rsidP="006E497A">
      <w:pPr>
        <w:pStyle w:val="paragraph"/>
        <w:spacing w:before="0" w:beforeAutospacing="0" w:after="0" w:afterAutospacing="0"/>
        <w:textAlignment w:val="baseline"/>
        <w:rPr>
          <w:rStyle w:val="eop"/>
          <w:rFonts w:ascii="Verdana" w:hAnsi="Verdana" w:cs="Segoe UI"/>
          <w:sz w:val="18"/>
          <w:szCs w:val="18"/>
        </w:rPr>
      </w:pPr>
      <w:r w:rsidRPr="00470F62">
        <w:rPr>
          <w:rStyle w:val="normaltextrun"/>
          <w:rFonts w:ascii="Verdana" w:hAnsi="Verdana" w:cs="Segoe UI"/>
          <w:b/>
          <w:bCs/>
          <w:sz w:val="18"/>
          <w:szCs w:val="18"/>
        </w:rPr>
        <w:t>Pakningsvedlegg</w:t>
      </w:r>
      <w:r>
        <w:rPr>
          <w:rStyle w:val="eop"/>
          <w:rFonts w:ascii="Verdana" w:hAnsi="Verdana" w:cs="Segoe UI"/>
          <w:sz w:val="18"/>
          <w:szCs w:val="18"/>
        </w:rPr>
        <w:t> </w:t>
      </w:r>
    </w:p>
    <w:p w14:paraId="561F2FAB" w14:textId="77777777" w:rsidR="006E497A" w:rsidRDefault="006E497A" w:rsidP="006E497A">
      <w:pPr>
        <w:pStyle w:val="paragraph"/>
        <w:spacing w:before="0" w:beforeAutospacing="0" w:after="0" w:afterAutospacing="0"/>
        <w:textAlignment w:val="baseline"/>
        <w:rPr>
          <w:rStyle w:val="eop"/>
          <w:rFonts w:ascii="Verdana" w:hAnsi="Verdana" w:cs="Segoe UI"/>
          <w:sz w:val="18"/>
          <w:szCs w:val="18"/>
        </w:rPr>
      </w:pPr>
    </w:p>
    <w:p w14:paraId="0574A6F7" w14:textId="77777777" w:rsidR="006E497A" w:rsidRPr="006E497A" w:rsidRDefault="006E497A" w:rsidP="006E497A">
      <w:pPr>
        <w:pStyle w:val="paragraph"/>
        <w:spacing w:before="0" w:beforeAutospacing="0" w:after="0" w:afterAutospacing="0"/>
        <w:textAlignment w:val="baseline"/>
        <w:rPr>
          <w:rFonts w:ascii="Verdana" w:hAnsi="Verdana" w:cs="Segoe UI"/>
          <w:sz w:val="18"/>
          <w:szCs w:val="18"/>
        </w:rPr>
      </w:pPr>
      <w:r w:rsidRPr="006E497A">
        <w:rPr>
          <w:rFonts w:ascii="Verdana" w:hAnsi="Verdana" w:cs="Segoe UI"/>
          <w:sz w:val="18"/>
          <w:szCs w:val="18"/>
        </w:rPr>
        <w:t>2. Hva du må vite før du får Abelcet</w:t>
      </w:r>
    </w:p>
    <w:p w14:paraId="6735FE29" w14:textId="77777777" w:rsidR="006E497A" w:rsidRPr="006E497A" w:rsidRDefault="006E497A" w:rsidP="006E497A">
      <w:pPr>
        <w:rPr>
          <w:rFonts w:ascii="Verdana" w:hAnsi="Verdana"/>
          <w:sz w:val="18"/>
          <w:szCs w:val="18"/>
        </w:rPr>
      </w:pPr>
    </w:p>
    <w:p w14:paraId="1D646016" w14:textId="77777777" w:rsidR="006E497A" w:rsidRPr="006E497A" w:rsidRDefault="006E497A" w:rsidP="006E497A">
      <w:pPr>
        <w:rPr>
          <w:rFonts w:ascii="Verdana" w:hAnsi="Verdana"/>
          <w:sz w:val="18"/>
          <w:szCs w:val="18"/>
        </w:rPr>
      </w:pPr>
      <w:r w:rsidRPr="006E497A">
        <w:rPr>
          <w:rFonts w:ascii="Verdana" w:hAnsi="Verdana"/>
          <w:sz w:val="18"/>
          <w:szCs w:val="18"/>
        </w:rPr>
        <w:t>Advarsel og forholdsregler</w:t>
      </w:r>
    </w:p>
    <w:p w14:paraId="2EC6E2C4" w14:textId="77777777" w:rsidR="006E497A" w:rsidRPr="006E497A" w:rsidRDefault="006E497A" w:rsidP="006E497A">
      <w:pPr>
        <w:rPr>
          <w:rFonts w:ascii="Verdana" w:hAnsi="Verdana"/>
          <w:sz w:val="18"/>
          <w:szCs w:val="18"/>
          <w:u w:val="single"/>
        </w:rPr>
      </w:pPr>
      <w:r w:rsidRPr="006E497A">
        <w:rPr>
          <w:rFonts w:ascii="Verdana" w:hAnsi="Verdana"/>
          <w:sz w:val="18"/>
          <w:szCs w:val="18"/>
        </w:rPr>
        <w:t xml:space="preserve">Hvis du behandles med Abelcet lipidkompleks, vil legen din overvåke funksjonen til nyrene </w:t>
      </w:r>
      <w:r w:rsidRPr="006E497A">
        <w:rPr>
          <w:rFonts w:ascii="Verdana" w:hAnsi="Verdana"/>
          <w:sz w:val="18"/>
          <w:szCs w:val="18"/>
          <w:u w:val="single"/>
        </w:rPr>
        <w:t>og elektrolytter som kalium før og under behandling med Abelcet. Dette er spesielt viktig hvis du tidligere har hatt nyreskade eller hvis du tar andre medisiner som kan påvirke hvordan nyrene fungerer. Hvis blodprøver viser at kaliumnivåene dine er høye kan du få uregelmessig hjerterytme, noen ganger alvorlig.</w:t>
      </w:r>
    </w:p>
    <w:p w14:paraId="1EF64A94" w14:textId="77777777" w:rsidR="006E497A" w:rsidRPr="006E497A" w:rsidRDefault="006E497A" w:rsidP="006E497A">
      <w:pPr>
        <w:rPr>
          <w:rFonts w:ascii="Verdana" w:hAnsi="Verdana"/>
          <w:sz w:val="18"/>
          <w:szCs w:val="18"/>
        </w:rPr>
      </w:pPr>
      <w:r w:rsidRPr="006E497A">
        <w:rPr>
          <w:rFonts w:ascii="Verdana" w:hAnsi="Verdana"/>
          <w:sz w:val="18"/>
          <w:szCs w:val="18"/>
        </w:rPr>
        <w:t xml:space="preserve">Legen din vil regelmessig overvåke funksjonen til </w:t>
      </w:r>
      <w:r w:rsidRPr="006E497A">
        <w:rPr>
          <w:rFonts w:ascii="Verdana" w:hAnsi="Verdana"/>
          <w:strike/>
          <w:sz w:val="18"/>
          <w:szCs w:val="18"/>
        </w:rPr>
        <w:t>nyrene og</w:t>
      </w:r>
      <w:r w:rsidRPr="006E497A">
        <w:rPr>
          <w:rFonts w:ascii="Verdana" w:hAnsi="Verdana"/>
          <w:sz w:val="18"/>
          <w:szCs w:val="18"/>
        </w:rPr>
        <w:t xml:space="preserve"> leveren </w:t>
      </w:r>
      <w:r w:rsidRPr="006E497A">
        <w:rPr>
          <w:rFonts w:ascii="Verdana" w:hAnsi="Verdana"/>
          <w:strike/>
          <w:sz w:val="18"/>
          <w:szCs w:val="18"/>
        </w:rPr>
        <w:t>og ta regelmessige blodprøver</w:t>
      </w:r>
      <w:r w:rsidRPr="006E497A">
        <w:rPr>
          <w:rFonts w:ascii="Verdana" w:hAnsi="Verdana"/>
          <w:sz w:val="18"/>
          <w:szCs w:val="18"/>
        </w:rPr>
        <w:t xml:space="preserve">, spesielt hvis du har hatt en leversykdom tidligere </w:t>
      </w:r>
      <w:r w:rsidRPr="006E497A">
        <w:rPr>
          <w:rFonts w:ascii="Verdana" w:hAnsi="Verdana"/>
          <w:strike/>
          <w:sz w:val="18"/>
          <w:szCs w:val="18"/>
        </w:rPr>
        <w:t>har hatt nyreproblemer</w:t>
      </w:r>
      <w:r w:rsidRPr="006E497A">
        <w:rPr>
          <w:rFonts w:ascii="Verdana" w:hAnsi="Verdana"/>
          <w:sz w:val="18"/>
          <w:szCs w:val="18"/>
        </w:rPr>
        <w:t>.</w:t>
      </w:r>
    </w:p>
    <w:p w14:paraId="6997CD48" w14:textId="77777777" w:rsidR="006E497A" w:rsidRPr="006E497A" w:rsidRDefault="006E497A" w:rsidP="006E497A">
      <w:pPr>
        <w:rPr>
          <w:rFonts w:ascii="Verdana" w:hAnsi="Verdana"/>
          <w:sz w:val="18"/>
          <w:szCs w:val="18"/>
        </w:rPr>
      </w:pPr>
    </w:p>
    <w:p w14:paraId="7FAB21DD" w14:textId="77777777" w:rsidR="006E497A" w:rsidRPr="006E497A" w:rsidRDefault="006E497A" w:rsidP="006E497A">
      <w:pPr>
        <w:rPr>
          <w:rFonts w:ascii="Verdana" w:hAnsi="Verdana"/>
          <w:sz w:val="18"/>
          <w:szCs w:val="18"/>
        </w:rPr>
      </w:pPr>
      <w:r w:rsidRPr="006E497A">
        <w:rPr>
          <w:rFonts w:ascii="Verdana" w:hAnsi="Verdana"/>
          <w:sz w:val="18"/>
          <w:szCs w:val="18"/>
        </w:rPr>
        <w:t>4. Mulige bivirkninger</w:t>
      </w:r>
    </w:p>
    <w:p w14:paraId="633F0BE7" w14:textId="77777777" w:rsidR="006E497A" w:rsidRPr="006E497A" w:rsidRDefault="006E497A" w:rsidP="006E497A">
      <w:pPr>
        <w:rPr>
          <w:rFonts w:ascii="Verdana" w:hAnsi="Verdana"/>
          <w:sz w:val="18"/>
          <w:szCs w:val="18"/>
        </w:rPr>
      </w:pPr>
      <w:r w:rsidRPr="006E497A">
        <w:rPr>
          <w:rFonts w:ascii="Verdana" w:hAnsi="Verdana"/>
          <w:sz w:val="18"/>
          <w:szCs w:val="18"/>
        </w:rPr>
        <w:lastRenderedPageBreak/>
        <w:t>Vanlige bivirkninger</w:t>
      </w:r>
    </w:p>
    <w:p w14:paraId="04B87710" w14:textId="77777777" w:rsidR="006E497A" w:rsidRPr="006E497A" w:rsidRDefault="006E497A" w:rsidP="006E497A">
      <w:pPr>
        <w:rPr>
          <w:rFonts w:ascii="Verdana" w:hAnsi="Verdana"/>
          <w:sz w:val="18"/>
          <w:szCs w:val="18"/>
        </w:rPr>
      </w:pPr>
      <w:r w:rsidRPr="006E497A">
        <w:rPr>
          <w:rFonts w:ascii="Verdana" w:hAnsi="Verdana"/>
          <w:sz w:val="18"/>
          <w:szCs w:val="18"/>
        </w:rPr>
        <w:t>……</w:t>
      </w:r>
    </w:p>
    <w:p w14:paraId="33BC41A2" w14:textId="77777777" w:rsidR="006E497A" w:rsidRPr="006E497A" w:rsidRDefault="006E497A" w:rsidP="006E497A">
      <w:pPr>
        <w:rPr>
          <w:rFonts w:ascii="Verdana" w:hAnsi="Verdana"/>
          <w:sz w:val="18"/>
          <w:szCs w:val="18"/>
          <w:u w:val="single"/>
        </w:rPr>
      </w:pPr>
      <w:r w:rsidRPr="006E497A">
        <w:rPr>
          <w:rFonts w:ascii="Verdana" w:hAnsi="Verdana"/>
          <w:sz w:val="18"/>
          <w:szCs w:val="18"/>
          <w:u w:val="single"/>
        </w:rPr>
        <w:t>Høyt nivå av kalium i blodet*</w:t>
      </w:r>
    </w:p>
    <w:p w14:paraId="582EACC1" w14:textId="77777777" w:rsidR="006E497A" w:rsidRDefault="006E497A" w:rsidP="006E497A"/>
    <w:p w14:paraId="11A65E34" w14:textId="77777777" w:rsidR="006E497A" w:rsidRPr="006E497A" w:rsidRDefault="006E497A" w:rsidP="006E497A">
      <w:pPr>
        <w:rPr>
          <w:rFonts w:ascii="Verdana" w:hAnsi="Verdana"/>
          <w:i/>
          <w:iCs/>
          <w:sz w:val="18"/>
          <w:szCs w:val="18"/>
        </w:rPr>
      </w:pPr>
      <w:r w:rsidRPr="006E497A">
        <w:rPr>
          <w:rFonts w:ascii="Verdana" w:hAnsi="Verdana"/>
          <w:i/>
          <w:iCs/>
          <w:sz w:val="18"/>
          <w:szCs w:val="18"/>
        </w:rPr>
        <w:t>* På grunn av forskjeller i nasjonale preparatomtaler og pakningsvedlegg, erkjennes det at tekst som allerede er inkludert i produktinformasjonen må endres/justeres for å tilpasses den nye teksten i denne PRAC-anbefalingen.</w:t>
      </w:r>
    </w:p>
    <w:p w14:paraId="3678AE8F" w14:textId="77777777" w:rsidR="006E497A" w:rsidRPr="00FE59D4" w:rsidRDefault="006E497A" w:rsidP="006E497A"/>
    <w:p w14:paraId="4ECD6A3B" w14:textId="77777777" w:rsidR="006E497A" w:rsidRPr="005A2812" w:rsidRDefault="006E497A" w:rsidP="006E497A">
      <w:pPr>
        <w:pStyle w:val="Heading1Agency"/>
        <w:rPr>
          <w:lang w:val="pt-PT"/>
        </w:rPr>
      </w:pPr>
      <w:r w:rsidRPr="005A2812">
        <w:rPr>
          <w:lang w:val="pt-PT" w:eastAsia="en-US"/>
        </w:rPr>
        <w:t>Avatrombopag</w:t>
      </w:r>
      <w:r w:rsidRPr="005A2812">
        <w:rPr>
          <w:lang w:val="pt-PT"/>
        </w:rPr>
        <w:t xml:space="preserve"> – </w:t>
      </w:r>
      <w:r>
        <w:rPr>
          <w:lang w:val="pt-PT" w:eastAsia="en-US"/>
        </w:rPr>
        <w:t>A</w:t>
      </w:r>
      <w:r w:rsidRPr="00470F62">
        <w:rPr>
          <w:lang w:val="pt-PT" w:eastAsia="en-US"/>
        </w:rPr>
        <w:t xml:space="preserve">ntifosfolipidsyndrom </w:t>
      </w:r>
      <w:r w:rsidRPr="005A2812">
        <w:rPr>
          <w:lang w:val="pt-PT"/>
        </w:rPr>
        <w:t>(EPITT n</w:t>
      </w:r>
      <w:r>
        <w:rPr>
          <w:lang w:val="pt-PT"/>
        </w:rPr>
        <w:t>r.</w:t>
      </w:r>
      <w:r w:rsidRPr="005A2812">
        <w:rPr>
          <w:lang w:val="pt-PT"/>
        </w:rPr>
        <w:t xml:space="preserve"> </w:t>
      </w:r>
      <w:r w:rsidRPr="009C7783">
        <w:rPr>
          <w:lang w:val="pt-PT"/>
        </w:rPr>
        <w:t>19954</w:t>
      </w:r>
      <w:r w:rsidRPr="005A2812">
        <w:rPr>
          <w:lang w:val="pt-PT"/>
        </w:rPr>
        <w:t>)</w:t>
      </w:r>
    </w:p>
    <w:p w14:paraId="397141CF" w14:textId="77777777" w:rsidR="006E497A" w:rsidRDefault="006E497A" w:rsidP="006E497A">
      <w:pPr>
        <w:rPr>
          <w:rStyle w:val="normaltextrun"/>
          <w:rFonts w:ascii="Verdana" w:hAnsi="Verdana" w:cs="Segoe UI"/>
          <w:b/>
          <w:bCs/>
          <w:sz w:val="18"/>
          <w:szCs w:val="18"/>
        </w:rPr>
      </w:pPr>
      <w:r>
        <w:rPr>
          <w:rStyle w:val="normaltextrun"/>
          <w:rFonts w:ascii="Verdana" w:hAnsi="Verdana" w:cs="Segoe UI"/>
          <w:b/>
          <w:bCs/>
          <w:sz w:val="18"/>
          <w:szCs w:val="18"/>
        </w:rPr>
        <w:t>Preparatomtale</w:t>
      </w:r>
    </w:p>
    <w:p w14:paraId="48F67D03" w14:textId="77777777" w:rsidR="006E497A" w:rsidRPr="006E497A" w:rsidRDefault="006E497A" w:rsidP="006E497A">
      <w:pPr>
        <w:rPr>
          <w:rStyle w:val="normaltextrun"/>
          <w:rFonts w:ascii="Verdana" w:hAnsi="Verdana"/>
          <w:sz w:val="18"/>
          <w:szCs w:val="18"/>
        </w:rPr>
      </w:pPr>
      <w:r w:rsidRPr="006E497A">
        <w:rPr>
          <w:rStyle w:val="normaltextrun"/>
          <w:rFonts w:ascii="Verdana" w:hAnsi="Verdana"/>
          <w:sz w:val="18"/>
          <w:szCs w:val="18"/>
        </w:rPr>
        <w:t>4.4  Advarsler og forsiktighetsregler</w:t>
      </w:r>
    </w:p>
    <w:p w14:paraId="3326BBA0" w14:textId="77777777" w:rsidR="006E497A" w:rsidRPr="006E497A" w:rsidRDefault="006E497A" w:rsidP="006E497A">
      <w:pPr>
        <w:rPr>
          <w:rStyle w:val="normaltextrun"/>
          <w:rFonts w:ascii="Verdana" w:hAnsi="Verdana"/>
          <w:sz w:val="18"/>
          <w:szCs w:val="18"/>
        </w:rPr>
      </w:pPr>
      <w:r w:rsidRPr="006E497A">
        <w:rPr>
          <w:rStyle w:val="normaltextrun"/>
          <w:rFonts w:ascii="Verdana" w:hAnsi="Verdana"/>
          <w:sz w:val="18"/>
          <w:szCs w:val="18"/>
        </w:rPr>
        <w:t>Trombotiske/tromboemboliske hendelser</w:t>
      </w:r>
    </w:p>
    <w:p w14:paraId="6FF8B34D" w14:textId="77777777" w:rsidR="006E497A" w:rsidRPr="006E497A" w:rsidRDefault="006E497A" w:rsidP="006E497A">
      <w:pPr>
        <w:ind w:left="708"/>
        <w:rPr>
          <w:rFonts w:ascii="Verdana" w:hAnsi="Verdana"/>
          <w:sz w:val="18"/>
          <w:szCs w:val="18"/>
        </w:rPr>
      </w:pPr>
      <w:r w:rsidRPr="006E497A">
        <w:rPr>
          <w:rFonts w:ascii="Verdana" w:hAnsi="Verdana" w:cs="Verdana"/>
          <w:bCs/>
          <w:sz w:val="18"/>
          <w:szCs w:val="18"/>
        </w:rPr>
        <w:t xml:space="preserve">[…] </w:t>
      </w:r>
      <w:r w:rsidRPr="006E497A">
        <w:rPr>
          <w:rFonts w:ascii="Verdana" w:hAnsi="Verdana"/>
          <w:sz w:val="18"/>
          <w:szCs w:val="18"/>
        </w:rPr>
        <w:t>Doptelet ble ikke studert hos pasienter med tidligere tromboemboliske hendelser. Ta i betraktning den mulige økningen av trombotisk risiko ved administrasjon av Doptelet til pasienter med kjente risikofaktorer for tromboembolisme, inkludert, men ikke begrenset til, genetisk protrombotiske lidelser (</w:t>
      </w:r>
      <w:r w:rsidRPr="006E497A">
        <w:rPr>
          <w:rFonts w:ascii="Verdana" w:hAnsi="Verdana"/>
          <w:sz w:val="18"/>
          <w:szCs w:val="18"/>
          <w:u w:val="single"/>
        </w:rPr>
        <w:t xml:space="preserve">f.eks. </w:t>
      </w:r>
      <w:r w:rsidRPr="006E497A">
        <w:rPr>
          <w:rFonts w:ascii="Verdana" w:hAnsi="Verdana"/>
          <w:sz w:val="18"/>
          <w:szCs w:val="18"/>
        </w:rPr>
        <w:t xml:space="preserve">Faktor V Leiden, Protrombin 20210A, antitrombinmangel eller Protein C- eller S-mangel), </w:t>
      </w:r>
      <w:r w:rsidRPr="006E497A">
        <w:rPr>
          <w:rFonts w:ascii="Verdana" w:hAnsi="Verdana"/>
          <w:sz w:val="18"/>
          <w:szCs w:val="18"/>
          <w:u w:val="single"/>
        </w:rPr>
        <w:t>ervervede risikofaktorer (for eksempel antifosfolipidsyndrom),</w:t>
      </w:r>
      <w:r w:rsidRPr="006E497A">
        <w:rPr>
          <w:rFonts w:ascii="Verdana" w:hAnsi="Verdana"/>
          <w:sz w:val="18"/>
          <w:szCs w:val="18"/>
        </w:rPr>
        <w:t xml:space="preserve"> høy alder, pasienter med langvarige perioder med immobilisering, maligniteter, prevensjonsmidler og hormon-substitusjonsbehandling, </w:t>
      </w:r>
      <w:r w:rsidRPr="006E497A">
        <w:rPr>
          <w:rFonts w:ascii="Verdana" w:hAnsi="Verdana" w:cs="Verdana"/>
          <w:bCs/>
          <w:sz w:val="18"/>
          <w:szCs w:val="18"/>
        </w:rPr>
        <w:t>[…]</w:t>
      </w:r>
    </w:p>
    <w:p w14:paraId="1C3F796D" w14:textId="77777777" w:rsidR="00470F62" w:rsidRDefault="00470F62">
      <w:pPr>
        <w:rPr>
          <w:rStyle w:val="normaltextrun"/>
          <w:rFonts w:ascii="Verdana" w:hAnsi="Verdana" w:cs="Segoe UI"/>
          <w:b/>
          <w:bCs/>
          <w:sz w:val="18"/>
          <w:szCs w:val="18"/>
        </w:rPr>
      </w:pPr>
    </w:p>
    <w:p w14:paraId="4AE343ED" w14:textId="32D2BF09" w:rsidR="00470F62" w:rsidRPr="005069E7" w:rsidRDefault="00470F62" w:rsidP="00470F62">
      <w:pPr>
        <w:pStyle w:val="Heading1Agency"/>
        <w:rPr>
          <w:lang w:val="pt-PT" w:eastAsia="en-US"/>
        </w:rPr>
      </w:pPr>
      <w:r w:rsidRPr="00470F62">
        <w:rPr>
          <w:lang w:val="nb-NO" w:eastAsia="en-US"/>
        </w:rPr>
        <w:t>Cefota</w:t>
      </w:r>
      <w:r w:rsidR="005069E7">
        <w:rPr>
          <w:lang w:val="nb-NO" w:eastAsia="en-US"/>
        </w:rPr>
        <w:t>ksim</w:t>
      </w:r>
      <w:r w:rsidRPr="00470F62">
        <w:rPr>
          <w:lang w:val="nb-NO"/>
        </w:rPr>
        <w:t xml:space="preserve"> – </w:t>
      </w:r>
      <w:r w:rsidRPr="005069E7">
        <w:rPr>
          <w:lang w:val="pt-PT" w:eastAsia="en-US"/>
        </w:rPr>
        <w:t>Legemiddelreaksjon med eosinofili og systemiske symptomer (DRESS) (EPITT nr. 19960)</w:t>
      </w:r>
    </w:p>
    <w:p w14:paraId="4659346F" w14:textId="77777777" w:rsidR="005A6F28" w:rsidRPr="00B743CF" w:rsidRDefault="005A6F28" w:rsidP="005A6F28">
      <w:pPr>
        <w:pStyle w:val="BodytextAgency"/>
        <w:rPr>
          <w:b/>
          <w:bCs/>
          <w:lang w:val="nb-NO"/>
        </w:rPr>
      </w:pPr>
      <w:r w:rsidRPr="00B743CF">
        <w:rPr>
          <w:b/>
          <w:bCs/>
          <w:lang w:val="nb-NO"/>
        </w:rPr>
        <w:t xml:space="preserve">Preparatomtale </w:t>
      </w:r>
    </w:p>
    <w:p w14:paraId="673D5BBE" w14:textId="77777777" w:rsidR="005A6F28" w:rsidRPr="00B743CF" w:rsidRDefault="005A6F28" w:rsidP="005A6F28">
      <w:pPr>
        <w:pStyle w:val="BodytextAgency"/>
        <w:rPr>
          <w:lang w:val="nb-NO"/>
        </w:rPr>
      </w:pPr>
      <w:r w:rsidRPr="00B743CF">
        <w:rPr>
          <w:lang w:val="nb-NO"/>
        </w:rPr>
        <w:t xml:space="preserve">4.4 Advarsler og forsiktighetsregler </w:t>
      </w:r>
    </w:p>
    <w:p w14:paraId="37F56490" w14:textId="77777777" w:rsidR="005A6F28" w:rsidRPr="00A903C0" w:rsidRDefault="005A6F28" w:rsidP="005A6F28">
      <w:pPr>
        <w:pStyle w:val="BodytextAgency"/>
        <w:rPr>
          <w:lang w:val="nb-NO"/>
        </w:rPr>
      </w:pPr>
      <w:r w:rsidRPr="00A903C0">
        <w:rPr>
          <w:lang w:val="nb-NO"/>
        </w:rPr>
        <w:t>Nåværende tek</w:t>
      </w:r>
      <w:r>
        <w:rPr>
          <w:lang w:val="nb-NO"/>
        </w:rPr>
        <w:t>s</w:t>
      </w:r>
      <w:r w:rsidRPr="00A903C0">
        <w:rPr>
          <w:lang w:val="nb-NO"/>
        </w:rPr>
        <w:t xml:space="preserve">t skal erstattes med følgende: </w:t>
      </w:r>
    </w:p>
    <w:p w14:paraId="5C1FA84D" w14:textId="77777777" w:rsidR="005A6F28" w:rsidRPr="00A903C0" w:rsidRDefault="005A6F28" w:rsidP="005A6F28">
      <w:pPr>
        <w:pStyle w:val="BodytextAgency"/>
        <w:rPr>
          <w:u w:val="single"/>
          <w:lang w:val="nb-NO"/>
        </w:rPr>
      </w:pPr>
      <w:r w:rsidRPr="00A903C0">
        <w:rPr>
          <w:u w:val="single"/>
          <w:lang w:val="nb-NO"/>
        </w:rPr>
        <w:t>Alvorlige hudreaksjoner</w:t>
      </w:r>
    </w:p>
    <w:p w14:paraId="45887075" w14:textId="77777777" w:rsidR="005A6F28" w:rsidRDefault="005A6F28" w:rsidP="005A6F28">
      <w:pPr>
        <w:pStyle w:val="BodytextAgency"/>
        <w:rPr>
          <w:u w:val="single"/>
          <w:lang w:val="nb-NO"/>
        </w:rPr>
      </w:pPr>
      <w:r w:rsidRPr="00594B68">
        <w:rPr>
          <w:u w:val="single"/>
          <w:lang w:val="nb-NO"/>
        </w:rPr>
        <w:t xml:space="preserve">Alvorlige kutane bivirkninger (SCARs) inkludert </w:t>
      </w:r>
      <w:r>
        <w:rPr>
          <w:u w:val="single"/>
          <w:lang w:val="nb-NO"/>
        </w:rPr>
        <w:t xml:space="preserve">akutt generalisert eksantematøs pustulose (AGEP), </w:t>
      </w:r>
      <w:r w:rsidRPr="00594B68">
        <w:rPr>
          <w:u w:val="single"/>
          <w:lang w:val="nb-NO"/>
        </w:rPr>
        <w:t>Stevens-Johnsons syndrom (SJS)</w:t>
      </w:r>
      <w:r>
        <w:rPr>
          <w:u w:val="single"/>
          <w:lang w:val="nb-NO"/>
        </w:rPr>
        <w:t xml:space="preserve">, </w:t>
      </w:r>
      <w:r w:rsidRPr="00594B68">
        <w:rPr>
          <w:u w:val="single"/>
          <w:lang w:val="nb-NO"/>
        </w:rPr>
        <w:t>toksisk epidermal nekrolyse (TEN),</w:t>
      </w:r>
      <w:r>
        <w:rPr>
          <w:u w:val="single"/>
          <w:lang w:val="nb-NO"/>
        </w:rPr>
        <w:t xml:space="preserve"> legemiddelreaksjon med eosinofili og systemiske symptomer (DRESS), som kan være livstruende eller dødelige, har blitt rapportert etter markedsføring i forbindelse med cefotaksimbehandling. </w:t>
      </w:r>
    </w:p>
    <w:p w14:paraId="1E4F1438" w14:textId="77777777" w:rsidR="005A6F28" w:rsidRDefault="005A6F28" w:rsidP="005A6F28">
      <w:pPr>
        <w:pStyle w:val="BodytextAgency"/>
        <w:rPr>
          <w:u w:val="single"/>
          <w:lang w:val="nb-NO"/>
        </w:rPr>
      </w:pPr>
      <w:r>
        <w:rPr>
          <w:u w:val="single"/>
          <w:lang w:val="nb-NO"/>
        </w:rPr>
        <w:t xml:space="preserve">Ved forskrivning bør pasienter informeres om tegn og symptomer på hudreaksjoner. </w:t>
      </w:r>
    </w:p>
    <w:p w14:paraId="5AC76868" w14:textId="411BC2F3" w:rsidR="005A6F28" w:rsidRDefault="005A6F28" w:rsidP="005A6F28">
      <w:pPr>
        <w:pStyle w:val="BodytextAgency"/>
        <w:rPr>
          <w:u w:val="single"/>
          <w:lang w:val="nb-NO"/>
        </w:rPr>
      </w:pPr>
      <w:r>
        <w:rPr>
          <w:u w:val="single"/>
          <w:lang w:val="nb-NO"/>
        </w:rPr>
        <w:t xml:space="preserve">Hvis tegn og symptomer som tyder på disse reaksjonene oppstår, </w:t>
      </w:r>
      <w:r w:rsidR="00311E51">
        <w:rPr>
          <w:u w:val="single"/>
          <w:lang w:val="nb-NO"/>
        </w:rPr>
        <w:t xml:space="preserve">skal </w:t>
      </w:r>
      <w:r>
        <w:rPr>
          <w:u w:val="single"/>
          <w:lang w:val="nb-NO"/>
        </w:rPr>
        <w:t xml:space="preserve">cefotaksim seponeres umiddelbart. Dersom pasienten har utviklet AGEP, SJS, TEN eller DRESS ved bruk av cefotaksim, skal behandling med cefotaksim ikke startes på nytt og bør seponeres permanent. </w:t>
      </w:r>
    </w:p>
    <w:p w14:paraId="2EFD433C" w14:textId="77777777" w:rsidR="005A6F28" w:rsidRDefault="005A6F28" w:rsidP="005A6F28">
      <w:pPr>
        <w:pStyle w:val="BodytextAgency"/>
        <w:rPr>
          <w:u w:val="single"/>
          <w:lang w:val="nb-NO"/>
        </w:rPr>
      </w:pPr>
      <w:r>
        <w:rPr>
          <w:u w:val="single"/>
          <w:lang w:val="nb-NO"/>
        </w:rPr>
        <w:t xml:space="preserve">Hos barn kan presentasjonen av utslett forveksles med den underliggende infeksjonen eller en alternativ smittsom sykdom, og leger bør vurdere muligheten for en reaksjon på cefotaksim hos barn som utvikler symptomer på utslett og feber under behandling med cefotaksim. </w:t>
      </w:r>
    </w:p>
    <w:p w14:paraId="45092C63" w14:textId="77777777" w:rsidR="005A6F28" w:rsidRPr="00594B68" w:rsidRDefault="005A6F28" w:rsidP="005A6F28">
      <w:pPr>
        <w:suppressAutoHyphens/>
        <w:ind w:left="567" w:hanging="567"/>
        <w:rPr>
          <w:rFonts w:ascii="Verdana" w:hAnsi="Verdana"/>
          <w:b/>
        </w:rPr>
      </w:pPr>
    </w:p>
    <w:p w14:paraId="0BF8B8C5" w14:textId="77777777" w:rsidR="005A6F28" w:rsidRPr="005A6F28" w:rsidRDefault="005A6F28" w:rsidP="005A6F28">
      <w:pPr>
        <w:pStyle w:val="BodytextAgency"/>
        <w:rPr>
          <w:lang w:val="nb-NO"/>
        </w:rPr>
      </w:pPr>
      <w:r w:rsidRPr="005A6F28">
        <w:rPr>
          <w:lang w:val="nb-NO"/>
        </w:rPr>
        <w:lastRenderedPageBreak/>
        <w:t>4.8 Bivirkninger</w:t>
      </w:r>
    </w:p>
    <w:p w14:paraId="559DB9B4" w14:textId="53D8A127" w:rsidR="005A6F28" w:rsidRPr="005A6F28" w:rsidRDefault="005A6F28" w:rsidP="005A6F28">
      <w:pPr>
        <w:suppressAutoHyphens/>
        <w:rPr>
          <w:rFonts w:ascii="Verdana" w:hAnsi="Verdana"/>
          <w:bCs/>
          <w:sz w:val="18"/>
          <w:szCs w:val="18"/>
        </w:rPr>
      </w:pPr>
      <w:r w:rsidRPr="005A6F28">
        <w:rPr>
          <w:rFonts w:ascii="Verdana" w:hAnsi="Verdana"/>
          <w:bCs/>
          <w:sz w:val="18"/>
          <w:szCs w:val="18"/>
        </w:rPr>
        <w:t>Under organklassesystemet Hud- og underhudssykdommer med frekvens "Ikke kjent":</w:t>
      </w:r>
    </w:p>
    <w:p w14:paraId="1EE9FEB7" w14:textId="77777777" w:rsidR="005A6F28" w:rsidRPr="005A6F28" w:rsidRDefault="005A6F28" w:rsidP="005A6F28">
      <w:pPr>
        <w:suppressAutoHyphens/>
        <w:rPr>
          <w:rFonts w:ascii="Verdana" w:hAnsi="Verdana"/>
          <w:bCs/>
          <w:sz w:val="18"/>
          <w:szCs w:val="18"/>
          <w:u w:val="single"/>
        </w:rPr>
      </w:pPr>
      <w:r w:rsidRPr="005A6F28">
        <w:rPr>
          <w:rFonts w:ascii="Verdana" w:hAnsi="Verdana"/>
          <w:bCs/>
          <w:sz w:val="18"/>
          <w:szCs w:val="18"/>
          <w:u w:val="single"/>
        </w:rPr>
        <w:t>Legemiddelreaksjon med eosinofili og systemiske symptomer (DRESS) (se pkt. 4.4)</w:t>
      </w:r>
    </w:p>
    <w:p w14:paraId="79BF0A15" w14:textId="77777777" w:rsidR="005A6F28" w:rsidRDefault="005A6F28" w:rsidP="005A6F28">
      <w:pPr>
        <w:pStyle w:val="BodytextAgency"/>
        <w:rPr>
          <w:b/>
          <w:bCs/>
          <w:lang w:val="nb-NO"/>
        </w:rPr>
      </w:pPr>
    </w:p>
    <w:p w14:paraId="30F2B301" w14:textId="77777777" w:rsidR="005A6F28" w:rsidRPr="00B743CF" w:rsidRDefault="005A6F28" w:rsidP="005A6F28">
      <w:pPr>
        <w:pStyle w:val="BodytextAgency"/>
        <w:rPr>
          <w:b/>
          <w:bCs/>
          <w:lang w:val="nb-NO"/>
        </w:rPr>
      </w:pPr>
      <w:r w:rsidRPr="00B743CF">
        <w:rPr>
          <w:b/>
          <w:bCs/>
          <w:lang w:val="nb-NO"/>
        </w:rPr>
        <w:t xml:space="preserve">Pakningsvedlegg </w:t>
      </w:r>
    </w:p>
    <w:p w14:paraId="69C9EC13" w14:textId="77777777" w:rsidR="005A6F28" w:rsidRPr="00B743CF" w:rsidRDefault="005A6F28" w:rsidP="005A6F28">
      <w:pPr>
        <w:pStyle w:val="BodytextAgency"/>
        <w:rPr>
          <w:lang w:val="nb-NO"/>
        </w:rPr>
      </w:pPr>
      <w:r w:rsidRPr="00B743CF">
        <w:rPr>
          <w:lang w:val="nb-NO"/>
        </w:rPr>
        <w:t xml:space="preserve">2. Hva du må vite før du </w:t>
      </w:r>
      <w:r>
        <w:rPr>
          <w:lang w:val="nb-NO"/>
        </w:rPr>
        <w:t>bruker</w:t>
      </w:r>
      <w:r w:rsidRPr="00B743CF">
        <w:rPr>
          <w:lang w:val="nb-NO"/>
        </w:rPr>
        <w:t xml:space="preserve"> </w:t>
      </w:r>
      <w:r>
        <w:rPr>
          <w:lang w:val="nb-NO"/>
        </w:rPr>
        <w:t>[preparatnavn]</w:t>
      </w:r>
      <w:r w:rsidRPr="00B743CF">
        <w:rPr>
          <w:lang w:val="nb-NO"/>
        </w:rPr>
        <w:t xml:space="preserve"> </w:t>
      </w:r>
    </w:p>
    <w:p w14:paraId="02729662" w14:textId="77777777" w:rsidR="005A6F28" w:rsidRPr="00B743CF" w:rsidRDefault="005A6F28" w:rsidP="005A6F28">
      <w:pPr>
        <w:pStyle w:val="BodytextAgency"/>
        <w:rPr>
          <w:b/>
          <w:bCs/>
          <w:lang w:val="nb-NO"/>
        </w:rPr>
      </w:pPr>
      <w:r>
        <w:rPr>
          <w:b/>
          <w:bCs/>
          <w:lang w:val="nb-NO"/>
        </w:rPr>
        <w:t xml:space="preserve">Bruk ikke [preparatnavn] dersom: </w:t>
      </w:r>
    </w:p>
    <w:p w14:paraId="00FFDC49" w14:textId="77777777" w:rsidR="005A6F28" w:rsidRDefault="005A6F28" w:rsidP="005A6F28">
      <w:pPr>
        <w:pStyle w:val="BodytextAgency"/>
        <w:rPr>
          <w:lang w:val="nb-NO"/>
        </w:rPr>
      </w:pPr>
      <w:r>
        <w:rPr>
          <w:lang w:val="nb-NO"/>
        </w:rPr>
        <w:t>……</w:t>
      </w:r>
    </w:p>
    <w:p w14:paraId="72B29637" w14:textId="77777777" w:rsidR="005A6F28" w:rsidRDefault="005A6F28" w:rsidP="005A6F28">
      <w:pPr>
        <w:pStyle w:val="BodytextAgency"/>
        <w:rPr>
          <w:u w:val="single"/>
          <w:lang w:val="nb-NO"/>
        </w:rPr>
      </w:pPr>
      <w:r w:rsidRPr="009B1A79">
        <w:rPr>
          <w:u w:val="single"/>
          <w:lang w:val="nb-NO"/>
        </w:rPr>
        <w:t xml:space="preserve">Du </w:t>
      </w:r>
      <w:r>
        <w:rPr>
          <w:u w:val="single"/>
          <w:lang w:val="nb-NO"/>
        </w:rPr>
        <w:t>tidligere har</w:t>
      </w:r>
      <w:r w:rsidRPr="009B1A79">
        <w:rPr>
          <w:u w:val="single"/>
          <w:lang w:val="nb-NO"/>
        </w:rPr>
        <w:t xml:space="preserve"> utviklet alvorlig hudutslett eller hudavskalling, blemmer og/eller munnsår etter å ha tatt cefotaksim eller andre cefalosporiner. </w:t>
      </w:r>
    </w:p>
    <w:p w14:paraId="4839A792" w14:textId="77777777" w:rsidR="005A6F28" w:rsidRDefault="005A6F28" w:rsidP="005A6F28">
      <w:pPr>
        <w:pStyle w:val="BodytextAgency"/>
        <w:rPr>
          <w:lang w:val="nb-NO"/>
        </w:rPr>
      </w:pPr>
      <w:r>
        <w:rPr>
          <w:lang w:val="nb-NO"/>
        </w:rPr>
        <w:t>Hvis noe av dette gjelder for deg, i</w:t>
      </w:r>
      <w:r w:rsidRPr="00572333">
        <w:rPr>
          <w:lang w:val="nb-NO"/>
        </w:rPr>
        <w:t xml:space="preserve">kke bruk [preparatnavn] eller snakk med lege. </w:t>
      </w:r>
    </w:p>
    <w:p w14:paraId="66DE72EA" w14:textId="77777777" w:rsidR="005A6F28" w:rsidRPr="00655EC1" w:rsidRDefault="005A6F28" w:rsidP="005A6F28">
      <w:pPr>
        <w:pStyle w:val="BodytextAgency"/>
        <w:rPr>
          <w:lang w:val="nb-NO"/>
        </w:rPr>
      </w:pPr>
    </w:p>
    <w:p w14:paraId="7EEB63E7" w14:textId="77777777" w:rsidR="005A6F28" w:rsidRDefault="005A6F28" w:rsidP="005A6F28">
      <w:pPr>
        <w:pStyle w:val="BodytextAgency"/>
        <w:rPr>
          <w:lang w:val="nb-NO"/>
        </w:rPr>
      </w:pPr>
      <w:r w:rsidRPr="009B1A79">
        <w:rPr>
          <w:lang w:val="nb-NO"/>
        </w:rPr>
        <w:t>Advarsler og forsiktighetsregler</w:t>
      </w:r>
    </w:p>
    <w:p w14:paraId="2764A083" w14:textId="77777777" w:rsidR="005A6F28" w:rsidRPr="009B1A79" w:rsidRDefault="005A6F28" w:rsidP="005A6F28">
      <w:pPr>
        <w:pStyle w:val="BodytextAgency"/>
        <w:rPr>
          <w:b/>
          <w:bCs/>
          <w:lang w:val="nb-NO"/>
        </w:rPr>
      </w:pPr>
      <w:r w:rsidRPr="009B1A79">
        <w:rPr>
          <w:b/>
          <w:bCs/>
          <w:lang w:val="nb-NO"/>
        </w:rPr>
        <w:t>Vær spesielt forsiktig med [preparatnavn]</w:t>
      </w:r>
    </w:p>
    <w:p w14:paraId="5A6E845A" w14:textId="77777777" w:rsidR="005A6F28" w:rsidRDefault="005A6F28" w:rsidP="005A6F28">
      <w:pPr>
        <w:pStyle w:val="BodytextAgency"/>
        <w:rPr>
          <w:u w:val="single"/>
          <w:lang w:val="nb-NO"/>
        </w:rPr>
      </w:pPr>
      <w:r w:rsidRPr="00594B68">
        <w:rPr>
          <w:u w:val="single"/>
          <w:lang w:val="nb-NO"/>
        </w:rPr>
        <w:t>Alvorlige hudreaksjoner inkludert Stevens-Johnson</w:t>
      </w:r>
      <w:r>
        <w:rPr>
          <w:u w:val="single"/>
          <w:lang w:val="nb-NO"/>
        </w:rPr>
        <w:t>s</w:t>
      </w:r>
      <w:r w:rsidRPr="00594B68">
        <w:rPr>
          <w:u w:val="single"/>
          <w:lang w:val="nb-NO"/>
        </w:rPr>
        <w:t xml:space="preserve"> syndro</w:t>
      </w:r>
      <w:r>
        <w:rPr>
          <w:u w:val="single"/>
          <w:lang w:val="nb-NO"/>
        </w:rPr>
        <w:t xml:space="preserve">m, </w:t>
      </w:r>
      <w:r w:rsidRPr="00594B68">
        <w:rPr>
          <w:u w:val="single"/>
          <w:lang w:val="nb-NO"/>
        </w:rPr>
        <w:t>toksisk epidermal nekrolys</w:t>
      </w:r>
      <w:r>
        <w:rPr>
          <w:u w:val="single"/>
          <w:lang w:val="nb-NO"/>
        </w:rPr>
        <w:t>e, legemiddelreaksjon med eosinofili og systemiske symptomer (DRESS), akutt generalisert eksantematøs pustulose (AGEP)</w:t>
      </w:r>
      <w:r w:rsidRPr="00594B68">
        <w:rPr>
          <w:u w:val="single"/>
          <w:lang w:val="nb-NO"/>
        </w:rPr>
        <w:t xml:space="preserve"> har blitt rapportert i forbindelse med </w:t>
      </w:r>
      <w:r>
        <w:rPr>
          <w:u w:val="single"/>
          <w:lang w:val="nb-NO"/>
        </w:rPr>
        <w:t>cefotaksimbehandling</w:t>
      </w:r>
      <w:r w:rsidRPr="00594B68">
        <w:rPr>
          <w:u w:val="single"/>
          <w:lang w:val="nb-NO"/>
        </w:rPr>
        <w:t xml:space="preserve">. Slutt å ta </w:t>
      </w:r>
      <w:r>
        <w:rPr>
          <w:u w:val="single"/>
          <w:lang w:val="nb-NO"/>
        </w:rPr>
        <w:t>cefotaksim</w:t>
      </w:r>
      <w:r w:rsidRPr="00594B68">
        <w:rPr>
          <w:u w:val="single"/>
          <w:lang w:val="nb-NO"/>
        </w:rPr>
        <w:t xml:space="preserve"> og oppsøk medisinsk hjelp umiddelbart dersom du opplever noen av symptomene forbundet med alvorlige hudreaksjoner som </w:t>
      </w:r>
      <w:r>
        <w:rPr>
          <w:u w:val="single"/>
          <w:lang w:val="nb-NO"/>
        </w:rPr>
        <w:t xml:space="preserve">er </w:t>
      </w:r>
      <w:r w:rsidRPr="00594B68">
        <w:rPr>
          <w:u w:val="single"/>
          <w:lang w:val="nb-NO"/>
        </w:rPr>
        <w:t>beskrevet i avsnitt 4.</w:t>
      </w:r>
    </w:p>
    <w:p w14:paraId="5CD84477" w14:textId="77777777" w:rsidR="005A6F28" w:rsidRDefault="005A6F28" w:rsidP="005A6F28">
      <w:pPr>
        <w:rPr>
          <w:rFonts w:ascii="Verdana" w:hAnsi="Verdana"/>
          <w:u w:val="single"/>
        </w:rPr>
      </w:pPr>
    </w:p>
    <w:p w14:paraId="6FC765EA" w14:textId="77777777" w:rsidR="005A6F28" w:rsidRPr="00594B68" w:rsidRDefault="005A6F28" w:rsidP="005A6F28">
      <w:pPr>
        <w:pStyle w:val="BodytextAgency"/>
        <w:rPr>
          <w:lang w:val="nb-NO"/>
        </w:rPr>
      </w:pPr>
      <w:r w:rsidRPr="00594B68">
        <w:rPr>
          <w:lang w:val="nb-NO"/>
        </w:rPr>
        <w:t>4. Mulige bivirkninger</w:t>
      </w:r>
    </w:p>
    <w:p w14:paraId="4F9DB64C" w14:textId="77777777" w:rsidR="005A6F28" w:rsidRDefault="005A6F28" w:rsidP="005A6F28">
      <w:pPr>
        <w:pStyle w:val="BodytextAgency"/>
        <w:rPr>
          <w:lang w:val="nb-NO"/>
        </w:rPr>
      </w:pPr>
      <w:r w:rsidRPr="00A903C0">
        <w:rPr>
          <w:lang w:val="nb-NO"/>
        </w:rPr>
        <w:t>Nåværende tek</w:t>
      </w:r>
      <w:r>
        <w:rPr>
          <w:lang w:val="nb-NO"/>
        </w:rPr>
        <w:t>s</w:t>
      </w:r>
      <w:r w:rsidRPr="00A903C0">
        <w:rPr>
          <w:lang w:val="nb-NO"/>
        </w:rPr>
        <w:t xml:space="preserve">t skal erstattes med følgende: </w:t>
      </w:r>
    </w:p>
    <w:p w14:paraId="706757D9" w14:textId="77777777" w:rsidR="005A6F28" w:rsidRPr="00B12502" w:rsidRDefault="005A6F28" w:rsidP="005A6F28">
      <w:pPr>
        <w:pStyle w:val="BodytextAgency"/>
        <w:rPr>
          <w:u w:val="single"/>
          <w:lang w:val="nb-NO"/>
        </w:rPr>
      </w:pPr>
      <w:r w:rsidRPr="00B12502">
        <w:rPr>
          <w:u w:val="single"/>
          <w:lang w:val="nb-NO"/>
        </w:rPr>
        <w:t xml:space="preserve">Slutt å ta cefotaksim og snakk med lege umiddelbart dersom du opplever noen av følgende symptomer: </w:t>
      </w:r>
    </w:p>
    <w:p w14:paraId="47A222A8" w14:textId="77777777" w:rsidR="005A6F28" w:rsidRPr="00B12502" w:rsidRDefault="005A6F28" w:rsidP="005A6F28">
      <w:pPr>
        <w:pStyle w:val="BodytextAgency"/>
        <w:numPr>
          <w:ilvl w:val="0"/>
          <w:numId w:val="5"/>
        </w:numPr>
        <w:rPr>
          <w:u w:val="single"/>
          <w:lang w:val="nb-NO"/>
        </w:rPr>
      </w:pPr>
      <w:r w:rsidRPr="00B12502">
        <w:rPr>
          <w:u w:val="single"/>
          <w:lang w:val="nb-NO"/>
        </w:rPr>
        <w:t>Rødlige ikke-forhøyede målskivelignende eller runde flekker på kroppen, ofte med blemmer, hudavskalling, sår i munnen, svelg, kjønnsorganer og øyne. Disse alvorlige hudutslettene kan starte med feber og influensalignende symptomer (Steven-Johnsons syndrom, toksisk epidermal nekrolyse).</w:t>
      </w:r>
    </w:p>
    <w:p w14:paraId="32186691" w14:textId="77777777" w:rsidR="005A6F28" w:rsidRPr="00B12502" w:rsidRDefault="005A6F28" w:rsidP="005A6F28">
      <w:pPr>
        <w:pStyle w:val="BodytextAgency"/>
        <w:numPr>
          <w:ilvl w:val="0"/>
          <w:numId w:val="5"/>
        </w:numPr>
        <w:rPr>
          <w:u w:val="single"/>
          <w:lang w:val="nb-NO"/>
        </w:rPr>
      </w:pPr>
      <w:r w:rsidRPr="00B12502">
        <w:rPr>
          <w:u w:val="single"/>
          <w:lang w:val="nb-NO"/>
        </w:rPr>
        <w:t xml:space="preserve">Utbredt utslett, høy feber og forstørrede lymfeknuter (DRESS-syndrom eller legemiddeloverfølsomhetssyndrom). </w:t>
      </w:r>
    </w:p>
    <w:p w14:paraId="6D2392DA" w14:textId="77777777" w:rsidR="005A6F28" w:rsidRPr="00B12502" w:rsidRDefault="005A6F28" w:rsidP="005A6F28">
      <w:pPr>
        <w:pStyle w:val="BodytextAgency"/>
        <w:numPr>
          <w:ilvl w:val="0"/>
          <w:numId w:val="5"/>
        </w:numPr>
        <w:rPr>
          <w:u w:val="single"/>
          <w:lang w:val="nb-NO"/>
        </w:rPr>
      </w:pPr>
      <w:r w:rsidRPr="00B12502">
        <w:rPr>
          <w:u w:val="single"/>
          <w:lang w:val="nb-NO"/>
        </w:rPr>
        <w:t xml:space="preserve">Et rødt, skjellete utbredt utslett med kuler under huden og blemmer, sammen med feber. Symptomene oppstår vanligvis ved oppstart av behandling (akutt generalisert eksantematøs pustulose). </w:t>
      </w:r>
    </w:p>
    <w:p w14:paraId="4AF85207" w14:textId="77777777" w:rsidR="00470F62" w:rsidRDefault="00470F62" w:rsidP="00470F62">
      <w:pPr>
        <w:pStyle w:val="BodytextAgency"/>
        <w:rPr>
          <w:lang w:val="nb-NO"/>
        </w:rPr>
      </w:pPr>
    </w:p>
    <w:p w14:paraId="7DF3DCDF" w14:textId="44930161" w:rsidR="00470F62" w:rsidRPr="0032162C" w:rsidRDefault="00651D82" w:rsidP="00470F62">
      <w:pPr>
        <w:pStyle w:val="Heading1Agency"/>
        <w:rPr>
          <w:lang w:val="nb-NO"/>
        </w:rPr>
      </w:pPr>
      <w:r w:rsidRPr="0032162C">
        <w:rPr>
          <w:lang w:val="nb-NO" w:eastAsia="en-US"/>
        </w:rPr>
        <w:t>Kob</w:t>
      </w:r>
      <w:r w:rsidR="005A6F28">
        <w:rPr>
          <w:lang w:val="nb-NO" w:eastAsia="en-US"/>
        </w:rPr>
        <w:t>i</w:t>
      </w:r>
      <w:r w:rsidRPr="0032162C">
        <w:rPr>
          <w:lang w:val="nb-NO" w:eastAsia="en-US"/>
        </w:rPr>
        <w:t>metinib</w:t>
      </w:r>
      <w:r w:rsidR="00470F62" w:rsidRPr="0032162C">
        <w:rPr>
          <w:lang w:val="nb-NO" w:eastAsia="en-US"/>
        </w:rPr>
        <w:t>; vemurafenib</w:t>
      </w:r>
      <w:r w:rsidR="00470F62" w:rsidRPr="0032162C">
        <w:rPr>
          <w:lang w:val="nb-NO"/>
        </w:rPr>
        <w:t xml:space="preserve"> – </w:t>
      </w:r>
      <w:r w:rsidR="00470F62" w:rsidRPr="0032162C">
        <w:rPr>
          <w:lang w:val="nb-NO" w:eastAsia="en-US"/>
        </w:rPr>
        <w:t>A</w:t>
      </w:r>
      <w:r w:rsidR="005A6F28">
        <w:rPr>
          <w:lang w:val="nb-NO" w:eastAsia="en-US"/>
        </w:rPr>
        <w:t>ftøse sår</w:t>
      </w:r>
      <w:r w:rsidR="00470F62" w:rsidRPr="0032162C">
        <w:rPr>
          <w:lang w:val="nb-NO" w:eastAsia="en-US"/>
        </w:rPr>
        <w:t xml:space="preserve">, </w:t>
      </w:r>
      <w:r w:rsidR="0032162C" w:rsidRPr="0032162C">
        <w:rPr>
          <w:lang w:val="nb-NO" w:eastAsia="en-US"/>
        </w:rPr>
        <w:t>munnså</w:t>
      </w:r>
      <w:r w:rsidR="0032162C">
        <w:rPr>
          <w:lang w:val="nb-NO" w:eastAsia="en-US"/>
        </w:rPr>
        <w:t>r</w:t>
      </w:r>
      <w:r w:rsidR="00470F62" w:rsidRPr="0032162C">
        <w:rPr>
          <w:lang w:val="nb-NO" w:eastAsia="en-US"/>
        </w:rPr>
        <w:t>, stomati</w:t>
      </w:r>
      <w:r w:rsidR="0032162C">
        <w:rPr>
          <w:lang w:val="nb-NO" w:eastAsia="en-US"/>
        </w:rPr>
        <w:t>tt</w:t>
      </w:r>
      <w:r w:rsidR="00470F62" w:rsidRPr="0032162C">
        <w:rPr>
          <w:lang w:val="nb-NO"/>
        </w:rPr>
        <w:t xml:space="preserve"> (EPITT nr. 19961)</w:t>
      </w:r>
    </w:p>
    <w:p w14:paraId="12E58B63" w14:textId="77777777" w:rsidR="005A6F28" w:rsidRPr="006B6F48" w:rsidRDefault="005A6F28" w:rsidP="005A6F28">
      <w:pPr>
        <w:pStyle w:val="BodytextAgency"/>
        <w:jc w:val="both"/>
        <w:rPr>
          <w:b/>
          <w:lang w:val="nb-NO"/>
        </w:rPr>
      </w:pPr>
      <w:r>
        <w:rPr>
          <w:b/>
          <w:lang w:val="nb-NO"/>
        </w:rPr>
        <w:t>Zelboraf</w:t>
      </w:r>
      <w:r w:rsidRPr="006B6F48">
        <w:rPr>
          <w:b/>
          <w:lang w:val="nb-NO"/>
        </w:rPr>
        <w:t xml:space="preserve"> (</w:t>
      </w:r>
      <w:r>
        <w:rPr>
          <w:b/>
          <w:lang w:val="nb-NO"/>
        </w:rPr>
        <w:t>vemurafenib</w:t>
      </w:r>
      <w:r w:rsidRPr="006B6F48">
        <w:rPr>
          <w:b/>
          <w:lang w:val="nb-NO"/>
        </w:rPr>
        <w:t>)</w:t>
      </w:r>
    </w:p>
    <w:p w14:paraId="0B210DD7" w14:textId="77777777" w:rsidR="005A6F28" w:rsidRPr="006B6F48" w:rsidRDefault="005A6F28" w:rsidP="005A6F28">
      <w:pPr>
        <w:pStyle w:val="BodytextAgency"/>
        <w:jc w:val="both"/>
        <w:rPr>
          <w:b/>
          <w:lang w:val="nb-NO"/>
        </w:rPr>
      </w:pPr>
      <w:r w:rsidRPr="006B6F48">
        <w:rPr>
          <w:b/>
          <w:lang w:val="nb-NO"/>
        </w:rPr>
        <w:lastRenderedPageBreak/>
        <w:t>Preparatomtale</w:t>
      </w:r>
    </w:p>
    <w:p w14:paraId="0E1C9F6A" w14:textId="77777777" w:rsidR="005A6F28" w:rsidRPr="006B6F48" w:rsidRDefault="005A6F28" w:rsidP="005A6F28">
      <w:pPr>
        <w:pStyle w:val="BodytextAgency"/>
        <w:rPr>
          <w:lang w:val="nb-NO"/>
        </w:rPr>
      </w:pPr>
      <w:r w:rsidRPr="006B6F48">
        <w:rPr>
          <w:lang w:val="nb-NO"/>
        </w:rPr>
        <w:t>4.8 Bivirkninger</w:t>
      </w:r>
    </w:p>
    <w:p w14:paraId="7B1C62B9" w14:textId="77777777" w:rsidR="005A6F28" w:rsidRPr="006B6F48" w:rsidRDefault="005A6F28" w:rsidP="005A6F28">
      <w:pPr>
        <w:pStyle w:val="BodytextAgency"/>
        <w:rPr>
          <w:lang w:val="nb-NO"/>
        </w:rPr>
      </w:pPr>
      <w:r>
        <w:rPr>
          <w:lang w:val="nb-NO"/>
        </w:rPr>
        <w:t>Gastrointestinale bivirkninger</w:t>
      </w:r>
    </w:p>
    <w:p w14:paraId="0B043C69" w14:textId="77777777" w:rsidR="005A6F28" w:rsidRDefault="005A6F28" w:rsidP="005A6F28">
      <w:pPr>
        <w:pStyle w:val="BodytextAgency"/>
        <w:rPr>
          <w:u w:val="single"/>
          <w:lang w:val="nb-NO"/>
        </w:rPr>
      </w:pPr>
      <w:r w:rsidRPr="006B6F48">
        <w:rPr>
          <w:lang w:val="nb-NO"/>
        </w:rPr>
        <w:t>Vanlige:</w:t>
      </w:r>
      <w:r>
        <w:rPr>
          <w:u w:val="single"/>
          <w:lang w:val="nb-NO"/>
        </w:rPr>
        <w:t xml:space="preserve"> stomatitt</w:t>
      </w:r>
      <w:r w:rsidRPr="00D16DEF">
        <w:rPr>
          <w:u w:val="single"/>
          <w:lang w:val="nb-NO"/>
        </w:rPr>
        <w:t xml:space="preserve"> </w:t>
      </w:r>
    </w:p>
    <w:p w14:paraId="3C8E3C85" w14:textId="77777777" w:rsidR="005A6F28" w:rsidRDefault="005A6F28" w:rsidP="005A6F28">
      <w:pPr>
        <w:pStyle w:val="BodytextAgency"/>
        <w:rPr>
          <w:u w:val="single"/>
          <w:lang w:val="nb-NO"/>
        </w:rPr>
      </w:pPr>
    </w:p>
    <w:p w14:paraId="37B492E2" w14:textId="77777777" w:rsidR="005A6F28" w:rsidRDefault="005A6F28" w:rsidP="005A6F28">
      <w:pPr>
        <w:pStyle w:val="BodytextAgency"/>
        <w:rPr>
          <w:b/>
          <w:bCs/>
          <w:lang w:val="nb-NO"/>
        </w:rPr>
      </w:pPr>
      <w:r w:rsidRPr="00510114">
        <w:rPr>
          <w:b/>
          <w:bCs/>
          <w:lang w:val="nb-NO"/>
        </w:rPr>
        <w:t>Pakningsvedlegg</w:t>
      </w:r>
    </w:p>
    <w:p w14:paraId="2573B667" w14:textId="77777777" w:rsidR="005A6F28" w:rsidRDefault="005A6F28" w:rsidP="005A6F28">
      <w:pPr>
        <w:pStyle w:val="BodytextAgency"/>
        <w:rPr>
          <w:lang w:val="nb-NO"/>
        </w:rPr>
      </w:pPr>
      <w:r w:rsidRPr="00510114">
        <w:rPr>
          <w:lang w:val="nb-NO"/>
        </w:rPr>
        <w:t>4</w:t>
      </w:r>
      <w:r>
        <w:rPr>
          <w:lang w:val="nb-NO"/>
        </w:rPr>
        <w:t>.</w:t>
      </w:r>
      <w:r w:rsidRPr="00510114">
        <w:rPr>
          <w:lang w:val="nb-NO"/>
        </w:rPr>
        <w:t xml:space="preserve"> </w:t>
      </w:r>
      <w:r>
        <w:rPr>
          <w:lang w:val="nb-NO"/>
        </w:rPr>
        <w:t>M</w:t>
      </w:r>
      <w:r w:rsidRPr="00510114">
        <w:rPr>
          <w:lang w:val="nb-NO"/>
        </w:rPr>
        <w:t>ulige bivirkninger</w:t>
      </w:r>
    </w:p>
    <w:p w14:paraId="63296023" w14:textId="77777777" w:rsidR="005A6F28" w:rsidRDefault="005A6F28" w:rsidP="005A6F28">
      <w:pPr>
        <w:pStyle w:val="BodytextAgency"/>
        <w:rPr>
          <w:lang w:val="nb-NO"/>
        </w:rPr>
      </w:pPr>
      <w:r w:rsidRPr="006B6F48">
        <w:rPr>
          <w:b/>
          <w:bCs/>
          <w:lang w:val="nb-NO"/>
        </w:rPr>
        <w:t>Vanlige</w:t>
      </w:r>
      <w:r>
        <w:rPr>
          <w:lang w:val="nb-NO"/>
        </w:rPr>
        <w:t xml:space="preserve"> (kan forekomme hos opptil 1 av 10 personer)</w:t>
      </w:r>
    </w:p>
    <w:p w14:paraId="455A0CEF" w14:textId="77777777" w:rsidR="005A6F28" w:rsidRPr="006B6F48" w:rsidRDefault="005A6F28" w:rsidP="005A6F28">
      <w:pPr>
        <w:spacing w:after="140" w:line="280" w:lineRule="atLeast"/>
        <w:rPr>
          <w:rFonts w:ascii="Verdana" w:eastAsia="Times New Roman" w:hAnsi="Verdana" w:cs="Verdana"/>
          <w:bCs/>
        </w:rPr>
      </w:pPr>
      <w:r w:rsidRPr="006B6F48">
        <w:rPr>
          <w:rFonts w:ascii="Verdana" w:eastAsia="Times New Roman" w:hAnsi="Verdana" w:cs="Verdana"/>
          <w:bCs/>
        </w:rPr>
        <w:t>&lt;…&gt;</w:t>
      </w:r>
    </w:p>
    <w:p w14:paraId="5521C319" w14:textId="089DDAE9" w:rsidR="0032162C" w:rsidRDefault="00311E51" w:rsidP="00470F62">
      <w:pPr>
        <w:pStyle w:val="BodytextAgency"/>
        <w:rPr>
          <w:lang w:val="nb-NO"/>
        </w:rPr>
      </w:pPr>
      <w:r w:rsidRPr="00FB4D9E">
        <w:rPr>
          <w:u w:val="single"/>
          <w:lang w:val="nb-NO"/>
        </w:rPr>
        <w:t>sår munn eller munnsår, betennelse i munnslimhinnen (stomatitt)</w:t>
      </w:r>
    </w:p>
    <w:p w14:paraId="5E6697C7" w14:textId="77777777" w:rsidR="005A6F28" w:rsidRDefault="005A6F28" w:rsidP="005A6F28">
      <w:pPr>
        <w:pStyle w:val="BodytextAgency"/>
        <w:rPr>
          <w:b/>
          <w:bCs/>
          <w:lang w:val="nb-NO"/>
        </w:rPr>
      </w:pPr>
      <w:r>
        <w:rPr>
          <w:b/>
          <w:bCs/>
          <w:lang w:val="nb-NO"/>
        </w:rPr>
        <w:t>Cotellic</w:t>
      </w:r>
      <w:r w:rsidRPr="00516ADD">
        <w:rPr>
          <w:b/>
          <w:bCs/>
          <w:lang w:val="nb-NO"/>
        </w:rPr>
        <w:t xml:space="preserve"> (</w:t>
      </w:r>
      <w:r>
        <w:rPr>
          <w:b/>
          <w:bCs/>
          <w:lang w:val="nb-NO"/>
        </w:rPr>
        <w:t>kobimetinib</w:t>
      </w:r>
      <w:r w:rsidRPr="00516ADD">
        <w:rPr>
          <w:b/>
          <w:bCs/>
          <w:lang w:val="nb-NO"/>
        </w:rPr>
        <w:t xml:space="preserve">) </w:t>
      </w:r>
    </w:p>
    <w:p w14:paraId="20D9A4CE" w14:textId="77777777" w:rsidR="005A6F28" w:rsidRDefault="005A6F28" w:rsidP="005A6F28">
      <w:pPr>
        <w:pStyle w:val="BodytextAgency"/>
        <w:rPr>
          <w:b/>
          <w:bCs/>
          <w:lang w:val="nb-NO"/>
        </w:rPr>
      </w:pPr>
      <w:r w:rsidRPr="00516ADD">
        <w:rPr>
          <w:b/>
          <w:bCs/>
          <w:lang w:val="nb-NO"/>
        </w:rPr>
        <w:t>Preparatomtale</w:t>
      </w:r>
    </w:p>
    <w:p w14:paraId="589441CF" w14:textId="77777777" w:rsidR="005A6F28" w:rsidRDefault="005A6F28" w:rsidP="005A6F28">
      <w:pPr>
        <w:pStyle w:val="BodytextAgency"/>
        <w:rPr>
          <w:lang w:val="nb-NO"/>
        </w:rPr>
      </w:pPr>
      <w:r>
        <w:rPr>
          <w:lang w:val="nb-NO"/>
        </w:rPr>
        <w:t xml:space="preserve">4.8 </w:t>
      </w:r>
      <w:r w:rsidRPr="00EF6698">
        <w:rPr>
          <w:lang w:val="nb-NO"/>
        </w:rPr>
        <w:t>Bivirkninger</w:t>
      </w:r>
    </w:p>
    <w:p w14:paraId="4AAD8D45" w14:textId="77777777" w:rsidR="005A6F28" w:rsidRPr="006B6F48" w:rsidRDefault="005A6F28" w:rsidP="005A6F28">
      <w:pPr>
        <w:pStyle w:val="BodytextAgency"/>
        <w:rPr>
          <w:lang w:val="nb-NO"/>
        </w:rPr>
      </w:pPr>
      <w:r>
        <w:rPr>
          <w:lang w:val="nb-NO"/>
        </w:rPr>
        <w:t>Gastrointestinale bivirkninger</w:t>
      </w:r>
    </w:p>
    <w:p w14:paraId="7F117F8E" w14:textId="4F0D2F5B" w:rsidR="005A6F28" w:rsidRDefault="005A6F28" w:rsidP="005A6F28">
      <w:pPr>
        <w:pStyle w:val="BodytextAgency"/>
        <w:rPr>
          <w:u w:val="single"/>
          <w:lang w:val="nb-NO"/>
        </w:rPr>
      </w:pPr>
      <w:r>
        <w:rPr>
          <w:lang w:val="nb-NO"/>
        </w:rPr>
        <w:t>Svært v</w:t>
      </w:r>
      <w:r w:rsidRPr="006B6F48">
        <w:rPr>
          <w:lang w:val="nb-NO"/>
        </w:rPr>
        <w:t>anlige:</w:t>
      </w:r>
      <w:r>
        <w:rPr>
          <w:u w:val="single"/>
          <w:lang w:val="nb-NO"/>
        </w:rPr>
        <w:t xml:space="preserve"> stomatit</w:t>
      </w:r>
      <w:r w:rsidR="006C6FC3">
        <w:rPr>
          <w:u w:val="single"/>
          <w:lang w:val="nb-NO"/>
        </w:rPr>
        <w:t>t</w:t>
      </w:r>
    </w:p>
    <w:p w14:paraId="5D577594" w14:textId="77777777" w:rsidR="005A6F28" w:rsidRDefault="005A6F28" w:rsidP="005A6F28">
      <w:pPr>
        <w:pStyle w:val="BodytextAgency"/>
        <w:rPr>
          <w:u w:val="single"/>
          <w:lang w:val="nb-NO"/>
        </w:rPr>
      </w:pPr>
    </w:p>
    <w:p w14:paraId="7F468681" w14:textId="77777777" w:rsidR="005A6F28" w:rsidRDefault="005A6F28" w:rsidP="005A6F28">
      <w:pPr>
        <w:pStyle w:val="BodytextAgency"/>
        <w:rPr>
          <w:b/>
          <w:bCs/>
          <w:lang w:val="nb-NO"/>
        </w:rPr>
      </w:pPr>
      <w:r w:rsidRPr="00510114">
        <w:rPr>
          <w:b/>
          <w:bCs/>
          <w:lang w:val="nb-NO"/>
        </w:rPr>
        <w:t>Pakningsvedlegg</w:t>
      </w:r>
    </w:p>
    <w:p w14:paraId="4FA2F79A" w14:textId="77777777" w:rsidR="005A6F28" w:rsidRDefault="005A6F28" w:rsidP="005A6F28">
      <w:pPr>
        <w:pStyle w:val="BodytextAgency"/>
        <w:rPr>
          <w:lang w:val="nb-NO"/>
        </w:rPr>
      </w:pPr>
      <w:r w:rsidRPr="00510114">
        <w:rPr>
          <w:lang w:val="nb-NO"/>
        </w:rPr>
        <w:t>4</w:t>
      </w:r>
      <w:r>
        <w:rPr>
          <w:lang w:val="nb-NO"/>
        </w:rPr>
        <w:t>.</w:t>
      </w:r>
      <w:r w:rsidRPr="00510114">
        <w:rPr>
          <w:lang w:val="nb-NO"/>
        </w:rPr>
        <w:t xml:space="preserve"> </w:t>
      </w:r>
      <w:r>
        <w:rPr>
          <w:lang w:val="nb-NO"/>
        </w:rPr>
        <w:t>M</w:t>
      </w:r>
      <w:r w:rsidRPr="00510114">
        <w:rPr>
          <w:lang w:val="nb-NO"/>
        </w:rPr>
        <w:t>ulige bivirkninger</w:t>
      </w:r>
    </w:p>
    <w:p w14:paraId="3A01A8C9" w14:textId="77777777" w:rsidR="005A6F28" w:rsidRDefault="005A6F28" w:rsidP="005A6F28">
      <w:pPr>
        <w:pStyle w:val="BodytextAgency"/>
        <w:rPr>
          <w:lang w:val="nb-NO"/>
        </w:rPr>
      </w:pPr>
      <w:r>
        <w:rPr>
          <w:b/>
          <w:bCs/>
          <w:lang w:val="nb-NO"/>
        </w:rPr>
        <w:t>Svært v</w:t>
      </w:r>
      <w:r w:rsidRPr="006B6F48">
        <w:rPr>
          <w:b/>
          <w:bCs/>
          <w:lang w:val="nb-NO"/>
        </w:rPr>
        <w:t>anlige</w:t>
      </w:r>
      <w:r>
        <w:rPr>
          <w:lang w:val="nb-NO"/>
        </w:rPr>
        <w:t xml:space="preserve"> (kan forekomme hos opptil 1 av 10 personer)</w:t>
      </w:r>
    </w:p>
    <w:p w14:paraId="6CB4F8B0" w14:textId="77777777" w:rsidR="005A6F28" w:rsidRPr="006B6F48" w:rsidRDefault="005A6F28" w:rsidP="005A6F28">
      <w:pPr>
        <w:spacing w:after="140" w:line="280" w:lineRule="atLeast"/>
        <w:rPr>
          <w:rFonts w:ascii="Verdana" w:eastAsia="Times New Roman" w:hAnsi="Verdana" w:cs="Verdana"/>
          <w:bCs/>
        </w:rPr>
      </w:pPr>
      <w:r w:rsidRPr="006B6F48">
        <w:rPr>
          <w:rFonts w:ascii="Verdana" w:eastAsia="Times New Roman" w:hAnsi="Verdana" w:cs="Verdana"/>
          <w:bCs/>
        </w:rPr>
        <w:t>&lt;…&gt;</w:t>
      </w:r>
    </w:p>
    <w:p w14:paraId="75B577B0" w14:textId="2ADC51C5" w:rsidR="005A6F28" w:rsidRPr="005A6F28" w:rsidRDefault="00597222" w:rsidP="005A6F28">
      <w:pPr>
        <w:numPr>
          <w:ilvl w:val="0"/>
          <w:numId w:val="6"/>
        </w:numPr>
        <w:spacing w:after="140" w:line="280" w:lineRule="atLeast"/>
        <w:rPr>
          <w:rFonts w:ascii="Verdana" w:eastAsia="Verdana" w:hAnsi="Verdana" w:cs="Verdana"/>
          <w:kern w:val="0"/>
          <w:sz w:val="18"/>
          <w:szCs w:val="18"/>
          <w:u w:val="single"/>
          <w:lang w:eastAsia="en-GB"/>
          <w14:ligatures w14:val="none"/>
        </w:rPr>
      </w:pPr>
      <w:r>
        <w:rPr>
          <w:rFonts w:ascii="Verdana" w:eastAsia="Verdana" w:hAnsi="Verdana" w:cs="Verdana"/>
          <w:kern w:val="0"/>
          <w:sz w:val="18"/>
          <w:szCs w:val="18"/>
          <w:u w:val="single"/>
          <w:lang w:eastAsia="en-GB"/>
          <w14:ligatures w14:val="none"/>
        </w:rPr>
        <w:t>sår munn</w:t>
      </w:r>
      <w:r w:rsidR="005A6F28" w:rsidRPr="005A6F28">
        <w:rPr>
          <w:rFonts w:ascii="Verdana" w:eastAsia="Verdana" w:hAnsi="Verdana" w:cs="Verdana"/>
          <w:kern w:val="0"/>
          <w:sz w:val="18"/>
          <w:szCs w:val="18"/>
          <w:u w:val="single"/>
          <w:lang w:eastAsia="en-GB"/>
          <w14:ligatures w14:val="none"/>
        </w:rPr>
        <w:t xml:space="preserve"> eller</w:t>
      </w:r>
      <w:r>
        <w:rPr>
          <w:rFonts w:ascii="Verdana" w:eastAsia="Verdana" w:hAnsi="Verdana" w:cs="Verdana"/>
          <w:kern w:val="0"/>
          <w:sz w:val="18"/>
          <w:szCs w:val="18"/>
          <w:u w:val="single"/>
          <w:lang w:eastAsia="en-GB"/>
          <w14:ligatures w14:val="none"/>
        </w:rPr>
        <w:t xml:space="preserve"> munnsår</w:t>
      </w:r>
      <w:r w:rsidR="00311E51">
        <w:rPr>
          <w:rFonts w:ascii="Verdana" w:eastAsia="Verdana" w:hAnsi="Verdana" w:cs="Verdana"/>
          <w:kern w:val="0"/>
          <w:sz w:val="18"/>
          <w:szCs w:val="18"/>
          <w:u w:val="single"/>
          <w:lang w:eastAsia="en-GB"/>
          <w14:ligatures w14:val="none"/>
        </w:rPr>
        <w:t xml:space="preserve">, </w:t>
      </w:r>
      <w:r w:rsidR="005A6F28" w:rsidRPr="005A6F28">
        <w:rPr>
          <w:rFonts w:ascii="Verdana" w:eastAsia="Verdana" w:hAnsi="Verdana" w:cs="Verdana"/>
          <w:kern w:val="0"/>
          <w:sz w:val="18"/>
          <w:szCs w:val="18"/>
          <w:u w:val="single"/>
          <w:lang w:eastAsia="en-GB"/>
          <w14:ligatures w14:val="none"/>
        </w:rPr>
        <w:t>betennelse i munnslimhinnen (stomatitt)</w:t>
      </w:r>
    </w:p>
    <w:p w14:paraId="1495F3BD" w14:textId="77777777" w:rsidR="0032162C" w:rsidRPr="005A6F28" w:rsidRDefault="0032162C" w:rsidP="0032162C">
      <w:pPr>
        <w:pStyle w:val="BodytextAgency"/>
        <w:rPr>
          <w:lang w:val="nb-NO"/>
        </w:rPr>
      </w:pPr>
    </w:p>
    <w:p w14:paraId="219DCA89" w14:textId="77777777" w:rsidR="0032162C" w:rsidRPr="0032162C" w:rsidRDefault="0032162C" w:rsidP="00470F62">
      <w:pPr>
        <w:pStyle w:val="BodytextAgency"/>
        <w:rPr>
          <w:lang w:val="nb-NO"/>
        </w:rPr>
      </w:pPr>
    </w:p>
    <w:sectPr w:rsidR="0032162C" w:rsidRPr="00321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D93"/>
    <w:multiLevelType w:val="multilevel"/>
    <w:tmpl w:val="1900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2" w15:restartNumberingAfterBreak="0">
    <w:nsid w:val="295D13D9"/>
    <w:multiLevelType w:val="hybridMultilevel"/>
    <w:tmpl w:val="5F083592"/>
    <w:lvl w:ilvl="0" w:tplc="FD042D04">
      <w:start w:val="1"/>
      <w:numFmt w:val="bullet"/>
      <w:lvlText w:val=""/>
      <w:lvlJc w:val="left"/>
      <w:pPr>
        <w:ind w:left="360" w:hanging="360"/>
      </w:pPr>
      <w:rPr>
        <w:rFonts w:ascii="Symbol" w:hAnsi="Symbol" w:hint="default"/>
      </w:rPr>
    </w:lvl>
    <w:lvl w:ilvl="1" w:tplc="607E535C" w:tentative="1">
      <w:start w:val="1"/>
      <w:numFmt w:val="bullet"/>
      <w:lvlText w:val="o"/>
      <w:lvlJc w:val="left"/>
      <w:pPr>
        <w:ind w:left="1080" w:hanging="360"/>
      </w:pPr>
      <w:rPr>
        <w:rFonts w:ascii="Courier New" w:hAnsi="Courier New" w:cs="Courier New" w:hint="default"/>
      </w:rPr>
    </w:lvl>
    <w:lvl w:ilvl="2" w:tplc="80EC3DF6" w:tentative="1">
      <w:start w:val="1"/>
      <w:numFmt w:val="bullet"/>
      <w:lvlText w:val=""/>
      <w:lvlJc w:val="left"/>
      <w:pPr>
        <w:ind w:left="1800" w:hanging="360"/>
      </w:pPr>
      <w:rPr>
        <w:rFonts w:ascii="Wingdings" w:hAnsi="Wingdings" w:hint="default"/>
      </w:rPr>
    </w:lvl>
    <w:lvl w:ilvl="3" w:tplc="7020FF20" w:tentative="1">
      <w:start w:val="1"/>
      <w:numFmt w:val="bullet"/>
      <w:lvlText w:val=""/>
      <w:lvlJc w:val="left"/>
      <w:pPr>
        <w:ind w:left="2520" w:hanging="360"/>
      </w:pPr>
      <w:rPr>
        <w:rFonts w:ascii="Symbol" w:hAnsi="Symbol" w:hint="default"/>
      </w:rPr>
    </w:lvl>
    <w:lvl w:ilvl="4" w:tplc="31EEF0BE" w:tentative="1">
      <w:start w:val="1"/>
      <w:numFmt w:val="bullet"/>
      <w:lvlText w:val="o"/>
      <w:lvlJc w:val="left"/>
      <w:pPr>
        <w:ind w:left="3240" w:hanging="360"/>
      </w:pPr>
      <w:rPr>
        <w:rFonts w:ascii="Courier New" w:hAnsi="Courier New" w:cs="Courier New" w:hint="default"/>
      </w:rPr>
    </w:lvl>
    <w:lvl w:ilvl="5" w:tplc="4F526CD2" w:tentative="1">
      <w:start w:val="1"/>
      <w:numFmt w:val="bullet"/>
      <w:lvlText w:val=""/>
      <w:lvlJc w:val="left"/>
      <w:pPr>
        <w:ind w:left="3960" w:hanging="360"/>
      </w:pPr>
      <w:rPr>
        <w:rFonts w:ascii="Wingdings" w:hAnsi="Wingdings" w:hint="default"/>
      </w:rPr>
    </w:lvl>
    <w:lvl w:ilvl="6" w:tplc="570E303C" w:tentative="1">
      <w:start w:val="1"/>
      <w:numFmt w:val="bullet"/>
      <w:lvlText w:val=""/>
      <w:lvlJc w:val="left"/>
      <w:pPr>
        <w:ind w:left="4680" w:hanging="360"/>
      </w:pPr>
      <w:rPr>
        <w:rFonts w:ascii="Symbol" w:hAnsi="Symbol" w:hint="default"/>
      </w:rPr>
    </w:lvl>
    <w:lvl w:ilvl="7" w:tplc="E0BE9314" w:tentative="1">
      <w:start w:val="1"/>
      <w:numFmt w:val="bullet"/>
      <w:lvlText w:val="o"/>
      <w:lvlJc w:val="left"/>
      <w:pPr>
        <w:ind w:left="5400" w:hanging="360"/>
      </w:pPr>
      <w:rPr>
        <w:rFonts w:ascii="Courier New" w:hAnsi="Courier New" w:cs="Courier New" w:hint="default"/>
      </w:rPr>
    </w:lvl>
    <w:lvl w:ilvl="8" w:tplc="E69EDB82" w:tentative="1">
      <w:start w:val="1"/>
      <w:numFmt w:val="bullet"/>
      <w:lvlText w:val=""/>
      <w:lvlJc w:val="left"/>
      <w:pPr>
        <w:ind w:left="6120" w:hanging="360"/>
      </w:pPr>
      <w:rPr>
        <w:rFonts w:ascii="Wingdings" w:hAnsi="Wingdings" w:hint="default"/>
      </w:rPr>
    </w:lvl>
  </w:abstractNum>
  <w:abstractNum w:abstractNumId="3"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4" w15:restartNumberingAfterBreak="0">
    <w:nsid w:val="580B5886"/>
    <w:multiLevelType w:val="hybridMultilevel"/>
    <w:tmpl w:val="9BBE3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102333"/>
    <w:multiLevelType w:val="hybridMultilevel"/>
    <w:tmpl w:val="FFFFFFFF"/>
    <w:lvl w:ilvl="0" w:tplc="75CCB41C">
      <w:start w:val="1"/>
      <w:numFmt w:val="bullet"/>
      <w:lvlText w:val=""/>
      <w:lvlJc w:val="left"/>
      <w:pPr>
        <w:ind w:left="720" w:hanging="360"/>
      </w:pPr>
      <w:rPr>
        <w:rFonts w:ascii="Symbol" w:hAnsi="Symbol" w:hint="default"/>
      </w:rPr>
    </w:lvl>
    <w:lvl w:ilvl="1" w:tplc="1E9E1D3C" w:tentative="1">
      <w:start w:val="1"/>
      <w:numFmt w:val="bullet"/>
      <w:lvlText w:val="o"/>
      <w:lvlJc w:val="left"/>
      <w:pPr>
        <w:ind w:left="1440" w:hanging="360"/>
      </w:pPr>
      <w:rPr>
        <w:rFonts w:ascii="Courier New" w:hAnsi="Courier New" w:hint="default"/>
      </w:rPr>
    </w:lvl>
    <w:lvl w:ilvl="2" w:tplc="08BC75AA" w:tentative="1">
      <w:start w:val="1"/>
      <w:numFmt w:val="bullet"/>
      <w:lvlText w:val=""/>
      <w:lvlJc w:val="left"/>
      <w:pPr>
        <w:ind w:left="2160" w:hanging="360"/>
      </w:pPr>
      <w:rPr>
        <w:rFonts w:ascii="Wingdings" w:hAnsi="Wingdings" w:hint="default"/>
      </w:rPr>
    </w:lvl>
    <w:lvl w:ilvl="3" w:tplc="9C7CD766" w:tentative="1">
      <w:start w:val="1"/>
      <w:numFmt w:val="bullet"/>
      <w:lvlText w:val=""/>
      <w:lvlJc w:val="left"/>
      <w:pPr>
        <w:ind w:left="2880" w:hanging="360"/>
      </w:pPr>
      <w:rPr>
        <w:rFonts w:ascii="Symbol" w:hAnsi="Symbol" w:hint="default"/>
      </w:rPr>
    </w:lvl>
    <w:lvl w:ilvl="4" w:tplc="DE22503A" w:tentative="1">
      <w:start w:val="1"/>
      <w:numFmt w:val="bullet"/>
      <w:lvlText w:val="o"/>
      <w:lvlJc w:val="left"/>
      <w:pPr>
        <w:ind w:left="3600" w:hanging="360"/>
      </w:pPr>
      <w:rPr>
        <w:rFonts w:ascii="Courier New" w:hAnsi="Courier New" w:hint="default"/>
      </w:rPr>
    </w:lvl>
    <w:lvl w:ilvl="5" w:tplc="506C8F4C" w:tentative="1">
      <w:start w:val="1"/>
      <w:numFmt w:val="bullet"/>
      <w:lvlText w:val=""/>
      <w:lvlJc w:val="left"/>
      <w:pPr>
        <w:ind w:left="4320" w:hanging="360"/>
      </w:pPr>
      <w:rPr>
        <w:rFonts w:ascii="Wingdings" w:hAnsi="Wingdings" w:hint="default"/>
      </w:rPr>
    </w:lvl>
    <w:lvl w:ilvl="6" w:tplc="C6E24AD6" w:tentative="1">
      <w:start w:val="1"/>
      <w:numFmt w:val="bullet"/>
      <w:lvlText w:val=""/>
      <w:lvlJc w:val="left"/>
      <w:pPr>
        <w:ind w:left="5040" w:hanging="360"/>
      </w:pPr>
      <w:rPr>
        <w:rFonts w:ascii="Symbol" w:hAnsi="Symbol" w:hint="default"/>
      </w:rPr>
    </w:lvl>
    <w:lvl w:ilvl="7" w:tplc="4DBA6338" w:tentative="1">
      <w:start w:val="1"/>
      <w:numFmt w:val="bullet"/>
      <w:lvlText w:val="o"/>
      <w:lvlJc w:val="left"/>
      <w:pPr>
        <w:ind w:left="5760" w:hanging="360"/>
      </w:pPr>
      <w:rPr>
        <w:rFonts w:ascii="Courier New" w:hAnsi="Courier New" w:hint="default"/>
      </w:rPr>
    </w:lvl>
    <w:lvl w:ilvl="8" w:tplc="EE9A2D0C" w:tentative="1">
      <w:start w:val="1"/>
      <w:numFmt w:val="bullet"/>
      <w:lvlText w:val=""/>
      <w:lvlJc w:val="left"/>
      <w:pPr>
        <w:ind w:left="6480" w:hanging="360"/>
      </w:pPr>
      <w:rPr>
        <w:rFonts w:ascii="Wingdings" w:hAnsi="Wingdings" w:hint="default"/>
      </w:rPr>
    </w:lvl>
  </w:abstractNum>
  <w:abstractNum w:abstractNumId="6" w15:restartNumberingAfterBreak="0">
    <w:nsid w:val="63521226"/>
    <w:multiLevelType w:val="hybridMultilevel"/>
    <w:tmpl w:val="8C228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BA5726"/>
    <w:multiLevelType w:val="hybridMultilevel"/>
    <w:tmpl w:val="20408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47369634">
    <w:abstractNumId w:val="0"/>
  </w:num>
  <w:num w:numId="2" w16cid:durableId="1780837279">
    <w:abstractNumId w:val="3"/>
  </w:num>
  <w:num w:numId="3" w16cid:durableId="1757240292">
    <w:abstractNumId w:val="2"/>
  </w:num>
  <w:num w:numId="4" w16cid:durableId="726224316">
    <w:abstractNumId w:val="1"/>
  </w:num>
  <w:num w:numId="5" w16cid:durableId="1734036856">
    <w:abstractNumId w:val="7"/>
  </w:num>
  <w:num w:numId="6" w16cid:durableId="1617829719">
    <w:abstractNumId w:val="5"/>
  </w:num>
  <w:num w:numId="7" w16cid:durableId="1305115044">
    <w:abstractNumId w:val="6"/>
  </w:num>
  <w:num w:numId="8" w16cid:durableId="968122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62"/>
    <w:rsid w:val="00097F0F"/>
    <w:rsid w:val="002755C1"/>
    <w:rsid w:val="002A2EB1"/>
    <w:rsid w:val="00311E51"/>
    <w:rsid w:val="0032162C"/>
    <w:rsid w:val="00371A1C"/>
    <w:rsid w:val="0039367A"/>
    <w:rsid w:val="00470F62"/>
    <w:rsid w:val="005069E7"/>
    <w:rsid w:val="005607DE"/>
    <w:rsid w:val="00597222"/>
    <w:rsid w:val="005A6F28"/>
    <w:rsid w:val="006068D8"/>
    <w:rsid w:val="0064474A"/>
    <w:rsid w:val="00651D82"/>
    <w:rsid w:val="006C6FC3"/>
    <w:rsid w:val="006E497A"/>
    <w:rsid w:val="007D370F"/>
    <w:rsid w:val="00C927AE"/>
    <w:rsid w:val="00FB4D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1E03"/>
  <w15:chartTrackingRefBased/>
  <w15:docId w15:val="{7468088E-AD50-4B92-A2BF-35799113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470F62"/>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eop">
    <w:name w:val="eop"/>
    <w:basedOn w:val="Standardskriftforavsnitt"/>
    <w:rsid w:val="00470F62"/>
  </w:style>
  <w:style w:type="character" w:customStyle="1" w:styleId="normaltextrun">
    <w:name w:val="normaltextrun"/>
    <w:basedOn w:val="Standardskriftforavsnitt"/>
    <w:rsid w:val="00470F62"/>
  </w:style>
  <w:style w:type="character" w:customStyle="1" w:styleId="scxw97307531">
    <w:name w:val="scxw97307531"/>
    <w:basedOn w:val="Standardskriftforavsnitt"/>
    <w:rsid w:val="00470F62"/>
  </w:style>
  <w:style w:type="paragraph" w:customStyle="1" w:styleId="BodytextAgency">
    <w:name w:val="Body text (Agency)"/>
    <w:basedOn w:val="Normal"/>
    <w:link w:val="BodytextAgencyChar"/>
    <w:qFormat/>
    <w:rsid w:val="00470F62"/>
    <w:pPr>
      <w:spacing w:after="140" w:line="280" w:lineRule="atLeast"/>
    </w:pPr>
    <w:rPr>
      <w:rFonts w:ascii="Verdana" w:eastAsia="Verdana" w:hAnsi="Verdana" w:cs="Verdana"/>
      <w:kern w:val="0"/>
      <w:sz w:val="18"/>
      <w:szCs w:val="18"/>
      <w:lang w:val="en-GB" w:eastAsia="en-GB"/>
      <w14:ligatures w14:val="none"/>
    </w:rPr>
  </w:style>
  <w:style w:type="paragraph" w:customStyle="1" w:styleId="Heading1Agency">
    <w:name w:val="Heading 1 (Agency)"/>
    <w:basedOn w:val="Normal"/>
    <w:next w:val="BodytextAgency"/>
    <w:qFormat/>
    <w:rsid w:val="00470F62"/>
    <w:pPr>
      <w:keepNext/>
      <w:numPr>
        <w:numId w:val="2"/>
      </w:numPr>
      <w:spacing w:before="280" w:after="220" w:line="240" w:lineRule="auto"/>
      <w:outlineLvl w:val="0"/>
    </w:pPr>
    <w:rPr>
      <w:rFonts w:ascii="Verdana" w:eastAsia="Verdana" w:hAnsi="Verdana" w:cs="Arial"/>
      <w:b/>
      <w:bCs/>
      <w:kern w:val="32"/>
      <w:sz w:val="27"/>
      <w:szCs w:val="27"/>
      <w:lang w:val="en-GB" w:eastAsia="en-GB"/>
      <w14:ligatures w14:val="none"/>
    </w:rPr>
  </w:style>
  <w:style w:type="paragraph" w:customStyle="1" w:styleId="Heading2Agency">
    <w:name w:val="Heading 2 (Agency)"/>
    <w:basedOn w:val="Normal"/>
    <w:next w:val="BodytextAgency"/>
    <w:qFormat/>
    <w:rsid w:val="00470F62"/>
    <w:pPr>
      <w:keepNext/>
      <w:numPr>
        <w:ilvl w:val="1"/>
        <w:numId w:val="2"/>
      </w:numPr>
      <w:spacing w:before="280" w:after="220" w:line="240" w:lineRule="auto"/>
      <w:outlineLvl w:val="1"/>
    </w:pPr>
    <w:rPr>
      <w:rFonts w:ascii="Verdana" w:eastAsia="Verdana" w:hAnsi="Verdana" w:cs="Arial"/>
      <w:b/>
      <w:bCs/>
      <w:i/>
      <w:kern w:val="32"/>
      <w:lang w:val="en-GB" w:eastAsia="en-GB"/>
      <w14:ligatures w14:val="none"/>
    </w:rPr>
  </w:style>
  <w:style w:type="paragraph" w:customStyle="1" w:styleId="Heading3Agency">
    <w:name w:val="Heading 3 (Agency)"/>
    <w:basedOn w:val="Normal"/>
    <w:next w:val="BodytextAgency"/>
    <w:qFormat/>
    <w:rsid w:val="00470F62"/>
    <w:pPr>
      <w:keepNext/>
      <w:numPr>
        <w:ilvl w:val="2"/>
        <w:numId w:val="2"/>
      </w:numPr>
      <w:spacing w:before="280" w:after="220" w:line="240" w:lineRule="auto"/>
      <w:outlineLvl w:val="2"/>
    </w:pPr>
    <w:rPr>
      <w:rFonts w:ascii="Verdana" w:eastAsia="Verdana" w:hAnsi="Verdana" w:cs="Arial"/>
      <w:b/>
      <w:bCs/>
      <w:kern w:val="32"/>
      <w:lang w:val="en-GB" w:eastAsia="en-GB"/>
      <w14:ligatures w14:val="none"/>
    </w:rPr>
  </w:style>
  <w:style w:type="paragraph" w:customStyle="1" w:styleId="Heading4Agency">
    <w:name w:val="Heading 4 (Agency)"/>
    <w:basedOn w:val="Heading3Agency"/>
    <w:next w:val="BodytextAgency"/>
    <w:qFormat/>
    <w:rsid w:val="00470F62"/>
    <w:pPr>
      <w:numPr>
        <w:ilvl w:val="3"/>
      </w:numPr>
      <w:outlineLvl w:val="3"/>
    </w:pPr>
    <w:rPr>
      <w:i/>
      <w:sz w:val="18"/>
      <w:szCs w:val="18"/>
    </w:rPr>
  </w:style>
  <w:style w:type="paragraph" w:customStyle="1" w:styleId="Heading5Agency">
    <w:name w:val="Heading 5 (Agency)"/>
    <w:basedOn w:val="Heading4Agency"/>
    <w:next w:val="BodytextAgency"/>
    <w:qFormat/>
    <w:rsid w:val="00470F62"/>
    <w:pPr>
      <w:numPr>
        <w:ilvl w:val="4"/>
      </w:numPr>
      <w:outlineLvl w:val="4"/>
    </w:pPr>
    <w:rPr>
      <w:i w:val="0"/>
    </w:rPr>
  </w:style>
  <w:style w:type="paragraph" w:customStyle="1" w:styleId="Heading6Agency">
    <w:name w:val="Heading 6 (Agency)"/>
    <w:basedOn w:val="Heading5Agency"/>
    <w:next w:val="BodytextAgency"/>
    <w:semiHidden/>
    <w:rsid w:val="00470F62"/>
    <w:pPr>
      <w:numPr>
        <w:ilvl w:val="5"/>
      </w:numPr>
      <w:outlineLvl w:val="5"/>
    </w:pPr>
  </w:style>
  <w:style w:type="paragraph" w:customStyle="1" w:styleId="Heading7Agency">
    <w:name w:val="Heading 7 (Agency)"/>
    <w:basedOn w:val="Heading6Agency"/>
    <w:next w:val="BodytextAgency"/>
    <w:semiHidden/>
    <w:rsid w:val="00470F62"/>
    <w:pPr>
      <w:numPr>
        <w:ilvl w:val="6"/>
      </w:numPr>
      <w:outlineLvl w:val="6"/>
    </w:pPr>
  </w:style>
  <w:style w:type="paragraph" w:customStyle="1" w:styleId="Heading8Agency">
    <w:name w:val="Heading 8 (Agency)"/>
    <w:basedOn w:val="Heading7Agency"/>
    <w:next w:val="BodytextAgency"/>
    <w:semiHidden/>
    <w:rsid w:val="00470F62"/>
    <w:pPr>
      <w:numPr>
        <w:ilvl w:val="7"/>
      </w:numPr>
      <w:outlineLvl w:val="7"/>
    </w:pPr>
  </w:style>
  <w:style w:type="paragraph" w:customStyle="1" w:styleId="Heading9Agency">
    <w:name w:val="Heading 9 (Agency)"/>
    <w:basedOn w:val="Heading8Agency"/>
    <w:next w:val="BodytextAgency"/>
    <w:semiHidden/>
    <w:rsid w:val="00470F62"/>
    <w:pPr>
      <w:numPr>
        <w:ilvl w:val="8"/>
      </w:numPr>
      <w:outlineLvl w:val="8"/>
    </w:pPr>
  </w:style>
  <w:style w:type="character" w:customStyle="1" w:styleId="BodytextAgencyChar">
    <w:name w:val="Body text (Agency) Char"/>
    <w:link w:val="BodytextAgency"/>
    <w:qFormat/>
    <w:locked/>
    <w:rsid w:val="00470F62"/>
    <w:rPr>
      <w:rFonts w:ascii="Verdana" w:eastAsia="Verdana" w:hAnsi="Verdana" w:cs="Verdana"/>
      <w:kern w:val="0"/>
      <w:sz w:val="18"/>
      <w:szCs w:val="18"/>
      <w:lang w:val="en-GB" w:eastAsia="en-GB"/>
      <w14:ligatures w14:val="none"/>
    </w:rPr>
  </w:style>
  <w:style w:type="character" w:styleId="Hyperkobling">
    <w:name w:val="Hyperlink"/>
    <w:basedOn w:val="Standardskriftforavsnitt"/>
    <w:semiHidden/>
    <w:unhideWhenUsed/>
    <w:rsid w:val="00470F62"/>
    <w:rPr>
      <w:color w:val="0000FF"/>
      <w:u w:val="single"/>
    </w:rPr>
  </w:style>
  <w:style w:type="character" w:styleId="Merknadsreferanse">
    <w:name w:val="annotation reference"/>
    <w:basedOn w:val="Standardskriftforavsnitt"/>
    <w:uiPriority w:val="99"/>
    <w:semiHidden/>
    <w:unhideWhenUsed/>
    <w:rsid w:val="0032162C"/>
    <w:rPr>
      <w:sz w:val="16"/>
      <w:szCs w:val="16"/>
    </w:rPr>
  </w:style>
  <w:style w:type="paragraph" w:styleId="Merknadstekst">
    <w:name w:val="annotation text"/>
    <w:basedOn w:val="Normal"/>
    <w:link w:val="MerknadstekstTegn"/>
    <w:uiPriority w:val="99"/>
    <w:unhideWhenUsed/>
    <w:rsid w:val="0032162C"/>
    <w:pPr>
      <w:spacing w:line="240" w:lineRule="auto"/>
    </w:pPr>
    <w:rPr>
      <w:sz w:val="20"/>
      <w:szCs w:val="20"/>
    </w:rPr>
  </w:style>
  <w:style w:type="character" w:customStyle="1" w:styleId="MerknadstekstTegn">
    <w:name w:val="Merknadstekst Tegn"/>
    <w:basedOn w:val="Standardskriftforavsnitt"/>
    <w:link w:val="Merknadstekst"/>
    <w:uiPriority w:val="99"/>
    <w:rsid w:val="0032162C"/>
    <w:rPr>
      <w:sz w:val="20"/>
      <w:szCs w:val="20"/>
    </w:rPr>
  </w:style>
  <w:style w:type="paragraph" w:styleId="Kommentaremne">
    <w:name w:val="annotation subject"/>
    <w:basedOn w:val="Merknadstekst"/>
    <w:next w:val="Merknadstekst"/>
    <w:link w:val="KommentaremneTegn"/>
    <w:uiPriority w:val="99"/>
    <w:semiHidden/>
    <w:unhideWhenUsed/>
    <w:rsid w:val="0032162C"/>
    <w:rPr>
      <w:b/>
      <w:bCs/>
    </w:rPr>
  </w:style>
  <w:style w:type="character" w:customStyle="1" w:styleId="KommentaremneTegn">
    <w:name w:val="Kommentaremne Tegn"/>
    <w:basedOn w:val="MerknadstekstTegn"/>
    <w:link w:val="Kommentaremne"/>
    <w:uiPriority w:val="99"/>
    <w:semiHidden/>
    <w:rsid w:val="0032162C"/>
    <w:rPr>
      <w:b/>
      <w:bCs/>
      <w:sz w:val="20"/>
      <w:szCs w:val="20"/>
    </w:rPr>
  </w:style>
  <w:style w:type="numbering" w:customStyle="1" w:styleId="NumberlistAgency">
    <w:name w:val="Number list (Agency)"/>
    <w:basedOn w:val="Ingenliste"/>
    <w:rsid w:val="005A6F28"/>
    <w:pPr>
      <w:numPr>
        <w:numId w:val="4"/>
      </w:numPr>
    </w:pPr>
  </w:style>
  <w:style w:type="paragraph" w:styleId="Listeavsnitt">
    <w:name w:val="List Paragraph"/>
    <w:basedOn w:val="Normal"/>
    <w:uiPriority w:val="34"/>
    <w:qFormat/>
    <w:rsid w:val="006E497A"/>
    <w:pPr>
      <w:ind w:left="720"/>
      <w:contextualSpacing/>
    </w:pPr>
  </w:style>
  <w:style w:type="character" w:styleId="Sidetall">
    <w:name w:val="page number"/>
    <w:basedOn w:val="Standardskriftforavsnitt"/>
    <w:semiHidden/>
    <w:rsid w:val="006E497A"/>
  </w:style>
  <w:style w:type="paragraph" w:styleId="Revisjon">
    <w:name w:val="Revision"/>
    <w:hidden/>
    <w:uiPriority w:val="99"/>
    <w:semiHidden/>
    <w:rsid w:val="00275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30020">
      <w:bodyDiv w:val="1"/>
      <w:marLeft w:val="0"/>
      <w:marRight w:val="0"/>
      <w:marTop w:val="0"/>
      <w:marBottom w:val="0"/>
      <w:divBdr>
        <w:top w:val="none" w:sz="0" w:space="0" w:color="auto"/>
        <w:left w:val="none" w:sz="0" w:space="0" w:color="auto"/>
        <w:bottom w:val="none" w:sz="0" w:space="0" w:color="auto"/>
        <w:right w:val="none" w:sz="0" w:space="0" w:color="auto"/>
      </w:divBdr>
      <w:divsChild>
        <w:div w:id="1314601362">
          <w:marLeft w:val="0"/>
          <w:marRight w:val="0"/>
          <w:marTop w:val="0"/>
          <w:marBottom w:val="0"/>
          <w:divBdr>
            <w:top w:val="none" w:sz="0" w:space="0" w:color="auto"/>
            <w:left w:val="none" w:sz="0" w:space="0" w:color="auto"/>
            <w:bottom w:val="none" w:sz="0" w:space="0" w:color="auto"/>
            <w:right w:val="none" w:sz="0" w:space="0" w:color="auto"/>
          </w:divBdr>
        </w:div>
        <w:div w:id="807432938">
          <w:marLeft w:val="0"/>
          <w:marRight w:val="0"/>
          <w:marTop w:val="0"/>
          <w:marBottom w:val="0"/>
          <w:divBdr>
            <w:top w:val="none" w:sz="0" w:space="0" w:color="auto"/>
            <w:left w:val="none" w:sz="0" w:space="0" w:color="auto"/>
            <w:bottom w:val="none" w:sz="0" w:space="0" w:color="auto"/>
            <w:right w:val="none" w:sz="0" w:space="0" w:color="auto"/>
          </w:divBdr>
        </w:div>
        <w:div w:id="475142629">
          <w:marLeft w:val="0"/>
          <w:marRight w:val="0"/>
          <w:marTop w:val="0"/>
          <w:marBottom w:val="0"/>
          <w:divBdr>
            <w:top w:val="none" w:sz="0" w:space="0" w:color="auto"/>
            <w:left w:val="none" w:sz="0" w:space="0" w:color="auto"/>
            <w:bottom w:val="none" w:sz="0" w:space="0" w:color="auto"/>
            <w:right w:val="none" w:sz="0" w:space="0" w:color="auto"/>
          </w:divBdr>
        </w:div>
        <w:div w:id="1965766120">
          <w:marLeft w:val="0"/>
          <w:marRight w:val="0"/>
          <w:marTop w:val="0"/>
          <w:marBottom w:val="0"/>
          <w:divBdr>
            <w:top w:val="none" w:sz="0" w:space="0" w:color="auto"/>
            <w:left w:val="none" w:sz="0" w:space="0" w:color="auto"/>
            <w:bottom w:val="none" w:sz="0" w:space="0" w:color="auto"/>
            <w:right w:val="none" w:sz="0" w:space="0" w:color="auto"/>
          </w:divBdr>
        </w:div>
        <w:div w:id="689916509">
          <w:marLeft w:val="0"/>
          <w:marRight w:val="0"/>
          <w:marTop w:val="0"/>
          <w:marBottom w:val="0"/>
          <w:divBdr>
            <w:top w:val="none" w:sz="0" w:space="0" w:color="auto"/>
            <w:left w:val="none" w:sz="0" w:space="0" w:color="auto"/>
            <w:bottom w:val="none" w:sz="0" w:space="0" w:color="auto"/>
            <w:right w:val="none" w:sz="0" w:space="0" w:color="auto"/>
          </w:divBdr>
        </w:div>
        <w:div w:id="2119638982">
          <w:marLeft w:val="0"/>
          <w:marRight w:val="0"/>
          <w:marTop w:val="0"/>
          <w:marBottom w:val="0"/>
          <w:divBdr>
            <w:top w:val="none" w:sz="0" w:space="0" w:color="auto"/>
            <w:left w:val="none" w:sz="0" w:space="0" w:color="auto"/>
            <w:bottom w:val="none" w:sz="0" w:space="0" w:color="auto"/>
            <w:right w:val="none" w:sz="0" w:space="0" w:color="auto"/>
          </w:divBdr>
        </w:div>
        <w:div w:id="1547374337">
          <w:marLeft w:val="0"/>
          <w:marRight w:val="0"/>
          <w:marTop w:val="0"/>
          <w:marBottom w:val="0"/>
          <w:divBdr>
            <w:top w:val="none" w:sz="0" w:space="0" w:color="auto"/>
            <w:left w:val="none" w:sz="0" w:space="0" w:color="auto"/>
            <w:bottom w:val="none" w:sz="0" w:space="0" w:color="auto"/>
            <w:right w:val="none" w:sz="0" w:space="0" w:color="auto"/>
          </w:divBdr>
        </w:div>
        <w:div w:id="930893086">
          <w:marLeft w:val="0"/>
          <w:marRight w:val="0"/>
          <w:marTop w:val="0"/>
          <w:marBottom w:val="0"/>
          <w:divBdr>
            <w:top w:val="none" w:sz="0" w:space="0" w:color="auto"/>
            <w:left w:val="none" w:sz="0" w:space="0" w:color="auto"/>
            <w:bottom w:val="none" w:sz="0" w:space="0" w:color="auto"/>
            <w:right w:val="none" w:sz="0" w:space="0" w:color="auto"/>
          </w:divBdr>
        </w:div>
        <w:div w:id="366178157">
          <w:marLeft w:val="0"/>
          <w:marRight w:val="0"/>
          <w:marTop w:val="0"/>
          <w:marBottom w:val="0"/>
          <w:divBdr>
            <w:top w:val="none" w:sz="0" w:space="0" w:color="auto"/>
            <w:left w:val="none" w:sz="0" w:space="0" w:color="auto"/>
            <w:bottom w:val="none" w:sz="0" w:space="0" w:color="auto"/>
            <w:right w:val="none" w:sz="0" w:space="0" w:color="auto"/>
          </w:divBdr>
        </w:div>
        <w:div w:id="1600141552">
          <w:marLeft w:val="0"/>
          <w:marRight w:val="0"/>
          <w:marTop w:val="0"/>
          <w:marBottom w:val="0"/>
          <w:divBdr>
            <w:top w:val="none" w:sz="0" w:space="0" w:color="auto"/>
            <w:left w:val="none" w:sz="0" w:space="0" w:color="auto"/>
            <w:bottom w:val="none" w:sz="0" w:space="0" w:color="auto"/>
            <w:right w:val="none" w:sz="0" w:space="0" w:color="auto"/>
          </w:divBdr>
        </w:div>
        <w:div w:id="1849056737">
          <w:marLeft w:val="0"/>
          <w:marRight w:val="0"/>
          <w:marTop w:val="0"/>
          <w:marBottom w:val="0"/>
          <w:divBdr>
            <w:top w:val="none" w:sz="0" w:space="0" w:color="auto"/>
            <w:left w:val="none" w:sz="0" w:space="0" w:color="auto"/>
            <w:bottom w:val="none" w:sz="0" w:space="0" w:color="auto"/>
            <w:right w:val="none" w:sz="0" w:space="0" w:color="auto"/>
          </w:divBdr>
        </w:div>
        <w:div w:id="792213508">
          <w:marLeft w:val="0"/>
          <w:marRight w:val="0"/>
          <w:marTop w:val="0"/>
          <w:marBottom w:val="0"/>
          <w:divBdr>
            <w:top w:val="none" w:sz="0" w:space="0" w:color="auto"/>
            <w:left w:val="none" w:sz="0" w:space="0" w:color="auto"/>
            <w:bottom w:val="none" w:sz="0" w:space="0" w:color="auto"/>
            <w:right w:val="none" w:sz="0" w:space="0" w:color="auto"/>
          </w:divBdr>
        </w:div>
        <w:div w:id="254554575">
          <w:marLeft w:val="0"/>
          <w:marRight w:val="0"/>
          <w:marTop w:val="0"/>
          <w:marBottom w:val="0"/>
          <w:divBdr>
            <w:top w:val="none" w:sz="0" w:space="0" w:color="auto"/>
            <w:left w:val="none" w:sz="0" w:space="0" w:color="auto"/>
            <w:bottom w:val="none" w:sz="0" w:space="0" w:color="auto"/>
            <w:right w:val="none" w:sz="0" w:space="0" w:color="auto"/>
          </w:divBdr>
        </w:div>
        <w:div w:id="1979801701">
          <w:marLeft w:val="0"/>
          <w:marRight w:val="0"/>
          <w:marTop w:val="0"/>
          <w:marBottom w:val="0"/>
          <w:divBdr>
            <w:top w:val="none" w:sz="0" w:space="0" w:color="auto"/>
            <w:left w:val="none" w:sz="0" w:space="0" w:color="auto"/>
            <w:bottom w:val="none" w:sz="0" w:space="0" w:color="auto"/>
            <w:right w:val="none" w:sz="0" w:space="0" w:color="auto"/>
          </w:divBdr>
        </w:div>
        <w:div w:id="810294655">
          <w:marLeft w:val="0"/>
          <w:marRight w:val="0"/>
          <w:marTop w:val="0"/>
          <w:marBottom w:val="0"/>
          <w:divBdr>
            <w:top w:val="none" w:sz="0" w:space="0" w:color="auto"/>
            <w:left w:val="none" w:sz="0" w:space="0" w:color="auto"/>
            <w:bottom w:val="none" w:sz="0" w:space="0" w:color="auto"/>
            <w:right w:val="none" w:sz="0" w:space="0" w:color="auto"/>
          </w:divBdr>
        </w:div>
      </w:divsChild>
    </w:div>
    <w:div w:id="17885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a.europa.eu/en/human-regulatory-overview/post-authorisation/pharmacovigilance-post-authorisation/signal-management/prac-recommendations-safety-signal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8496</Characters>
  <Application>Microsoft Office Word</Application>
  <DocSecurity>4</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Skogheim</dc:creator>
  <cp:keywords/>
  <dc:description/>
  <cp:lastModifiedBy>Elin Søndenå Sanne</cp:lastModifiedBy>
  <cp:revision>2</cp:revision>
  <dcterms:created xsi:type="dcterms:W3CDTF">2024-01-25T12:27:00Z</dcterms:created>
  <dcterms:modified xsi:type="dcterms:W3CDTF">2024-01-25T12:27:00Z</dcterms:modified>
</cp:coreProperties>
</file>