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1CC98" w14:textId="0BD47E55" w:rsidR="003C1473" w:rsidRPr="00333F3F" w:rsidRDefault="00DE4C8A" w:rsidP="00463B43">
      <w:pPr>
        <w:pStyle w:val="DoctitleAgency"/>
      </w:pPr>
      <w:bookmarkStart w:id="0" w:name="DocSubtitle"/>
      <w:r w:rsidRPr="00333F3F">
        <w:t>Anbefaling fra PRAC etter signalutredning</w:t>
      </w:r>
      <w:r w:rsidR="009829D4" w:rsidRPr="00333F3F">
        <w:t xml:space="preserve"> – </w:t>
      </w:r>
      <w:r w:rsidRPr="00333F3F">
        <w:t>oppdatering av produktinformasjon</w:t>
      </w:r>
    </w:p>
    <w:bookmarkEnd w:id="0"/>
    <w:p w14:paraId="0DB1CC99" w14:textId="0E4375AE" w:rsidR="00BA4CDA" w:rsidRPr="00DE4C8A" w:rsidRDefault="00DE4C8A" w:rsidP="00C47EBD">
      <w:pPr>
        <w:pStyle w:val="DocsubtitleAgency"/>
      </w:pPr>
      <w:r w:rsidRPr="00DE4C8A">
        <w:t>Vedtatt 2.</w:t>
      </w:r>
      <w:r w:rsidR="004733DA" w:rsidRPr="00DE4C8A">
        <w:t>-5</w:t>
      </w:r>
      <w:r w:rsidRPr="00DE4C8A">
        <w:t>.</w:t>
      </w:r>
      <w:r w:rsidR="004733DA" w:rsidRPr="00DE4C8A">
        <w:t xml:space="preserve"> </w:t>
      </w:r>
      <w:r w:rsidRPr="00DE4C8A">
        <w:t>s</w:t>
      </w:r>
      <w:r w:rsidR="004733DA" w:rsidRPr="00DE4C8A">
        <w:t>eptember</w:t>
      </w:r>
      <w:r w:rsidR="001503FB" w:rsidRPr="00DE4C8A">
        <w:t xml:space="preserve"> 20</w:t>
      </w:r>
      <w:r w:rsidR="00BF34EB" w:rsidRPr="00DE4C8A">
        <w:t>2</w:t>
      </w:r>
      <w:r w:rsidR="00190B98" w:rsidRPr="00DE4C8A">
        <w:t>4</w:t>
      </w:r>
      <w:r w:rsidR="009829D4" w:rsidRPr="00DE4C8A">
        <w:t xml:space="preserve"> PRAC</w:t>
      </w:r>
    </w:p>
    <w:p w14:paraId="16E0C417" w14:textId="713B6BF5" w:rsidR="00DE4C8A" w:rsidRPr="00CC330F" w:rsidRDefault="00DE4C8A" w:rsidP="00DE4C8A">
      <w:pPr>
        <w:pStyle w:val="BodytextAgency"/>
      </w:pPr>
      <w:r w:rsidRPr="00DE4C8A">
        <w:t xml:space="preserve">Ordlyden i produktinformasjonen i dette dokumentet er hentet fra dokumentet ‘PRAC recommendations on signals’, som inneholder hele PRAC anbefalingsteksten til oppdateringen. Det dokumentet inneholder i tillegg en generell veiledning om hvordan signalene skal håndteres. </w:t>
      </w:r>
      <w:r w:rsidRPr="00CC330F">
        <w:t>Dokumentet finnes her (kun engelsk versjon).</w:t>
      </w:r>
    </w:p>
    <w:p w14:paraId="0DB1CC9C" w14:textId="67B88242" w:rsidR="001254D9" w:rsidRDefault="00DE4C8A" w:rsidP="004421C1">
      <w:pPr>
        <w:pStyle w:val="BodytextAgency"/>
      </w:pPr>
      <w:r w:rsidRPr="00DE4C8A">
        <w:t xml:space="preserve">Ny tekst som skal inn i produktinformasjonen er </w:t>
      </w:r>
      <w:r w:rsidRPr="00DE4C8A">
        <w:rPr>
          <w:u w:val="single"/>
        </w:rPr>
        <w:t>understreket</w:t>
      </w:r>
      <w:r w:rsidRPr="00DE4C8A">
        <w:t>. Nåværende tekst som skal slettes er gjennomstreket.</w:t>
      </w:r>
    </w:p>
    <w:p w14:paraId="5B4B1B6B" w14:textId="77777777" w:rsidR="00DE4C8A" w:rsidRPr="00DE4C8A" w:rsidRDefault="00DE4C8A" w:rsidP="004421C1">
      <w:pPr>
        <w:pStyle w:val="BodytextAgency"/>
      </w:pPr>
    </w:p>
    <w:p w14:paraId="0DB1CC9D" w14:textId="636EE520" w:rsidR="001254D9" w:rsidRPr="00DE4C8A" w:rsidRDefault="009829D4" w:rsidP="001254D9">
      <w:pPr>
        <w:pStyle w:val="Heading1Agency"/>
        <w:numPr>
          <w:ilvl w:val="0"/>
          <w:numId w:val="5"/>
        </w:numPr>
      </w:pPr>
      <w:r w:rsidRPr="00DE4C8A">
        <w:rPr>
          <w:lang w:eastAsia="en-US"/>
        </w:rPr>
        <w:t>Medro</w:t>
      </w:r>
      <w:r w:rsidR="00DE4C8A">
        <w:rPr>
          <w:lang w:eastAsia="en-US"/>
        </w:rPr>
        <w:t>ks</w:t>
      </w:r>
      <w:r w:rsidRPr="00DE4C8A">
        <w:rPr>
          <w:lang w:eastAsia="en-US"/>
        </w:rPr>
        <w:t>yprogesteronacetat</w:t>
      </w:r>
      <w:r w:rsidR="009900C6" w:rsidRPr="00DE4C8A">
        <w:rPr>
          <w:lang w:eastAsia="en-US"/>
        </w:rPr>
        <w:t xml:space="preserve"> (MPA)</w:t>
      </w:r>
      <w:r w:rsidR="005A79E2" w:rsidRPr="00DE4C8A">
        <w:t xml:space="preserve"> </w:t>
      </w:r>
      <w:r w:rsidR="001503FB" w:rsidRPr="00DE4C8A">
        <w:t xml:space="preserve">– </w:t>
      </w:r>
      <w:r w:rsidR="00A37BEA" w:rsidRPr="00DE4C8A">
        <w:rPr>
          <w:lang w:eastAsia="en-US"/>
        </w:rPr>
        <w:t>Meningeom</w:t>
      </w:r>
      <w:r w:rsidR="00C34E2D" w:rsidRPr="00DE4C8A">
        <w:t xml:space="preserve"> (EPITT n</w:t>
      </w:r>
      <w:r w:rsidR="00DE4C8A">
        <w:t>r.</w:t>
      </w:r>
      <w:r w:rsidR="00C34E2D" w:rsidRPr="00DE4C8A">
        <w:t xml:space="preserve"> </w:t>
      </w:r>
      <w:r w:rsidRPr="00DE4C8A">
        <w:t>20030</w:t>
      </w:r>
      <w:r w:rsidR="00C34E2D" w:rsidRPr="00DE4C8A">
        <w:t>)</w:t>
      </w:r>
    </w:p>
    <w:p w14:paraId="0DB1CC9E" w14:textId="55AF81D8" w:rsidR="00420842" w:rsidRPr="00DE4C8A" w:rsidRDefault="00DE4C8A" w:rsidP="00420842">
      <w:pPr>
        <w:pStyle w:val="BodytextAgency"/>
        <w:rPr>
          <w:i/>
          <w:iCs/>
        </w:rPr>
      </w:pPr>
      <w:r w:rsidRPr="00DE4C8A">
        <w:rPr>
          <w:i/>
          <w:iCs/>
        </w:rPr>
        <w:t xml:space="preserve">Det kan være nødvendig </w:t>
      </w:r>
      <w:r w:rsidR="00187CF2">
        <w:rPr>
          <w:i/>
          <w:iCs/>
        </w:rPr>
        <w:t>for</w:t>
      </w:r>
      <w:r w:rsidRPr="00DE4C8A">
        <w:rPr>
          <w:i/>
          <w:iCs/>
        </w:rPr>
        <w:t xml:space="preserve"> MT-innehavere</w:t>
      </w:r>
      <w:r w:rsidR="00187CF2">
        <w:rPr>
          <w:i/>
          <w:iCs/>
        </w:rPr>
        <w:t xml:space="preserve"> å</w:t>
      </w:r>
      <w:r w:rsidRPr="00DE4C8A">
        <w:rPr>
          <w:i/>
          <w:iCs/>
        </w:rPr>
        <w:t xml:space="preserve"> tilpasse teksten </w:t>
      </w:r>
      <w:r w:rsidR="00187CF2">
        <w:rPr>
          <w:i/>
          <w:iCs/>
        </w:rPr>
        <w:t>for enkelte</w:t>
      </w:r>
      <w:r w:rsidRPr="00DE4C8A">
        <w:rPr>
          <w:i/>
          <w:iCs/>
        </w:rPr>
        <w:t xml:space="preserve"> produkter </w:t>
      </w:r>
      <w:r w:rsidR="00CC330F">
        <w:rPr>
          <w:i/>
          <w:iCs/>
        </w:rPr>
        <w:t>med tanke på</w:t>
      </w:r>
      <w:r w:rsidRPr="00DE4C8A">
        <w:rPr>
          <w:i/>
          <w:iCs/>
        </w:rPr>
        <w:t xml:space="preserve"> </w:t>
      </w:r>
      <w:r w:rsidR="00CC330F">
        <w:rPr>
          <w:i/>
          <w:iCs/>
        </w:rPr>
        <w:t xml:space="preserve">allerede </w:t>
      </w:r>
      <w:r w:rsidRPr="00DE4C8A">
        <w:rPr>
          <w:i/>
          <w:iCs/>
        </w:rPr>
        <w:t>eksisterende ordlyd for noen nasjonalt godk</w:t>
      </w:r>
      <w:r>
        <w:rPr>
          <w:i/>
          <w:iCs/>
        </w:rPr>
        <w:t xml:space="preserve">jente produkter. </w:t>
      </w:r>
    </w:p>
    <w:p w14:paraId="0DB1CC9F" w14:textId="348C0990" w:rsidR="00F176F0" w:rsidRPr="00F176F0" w:rsidRDefault="00A134C7" w:rsidP="00F176F0">
      <w:pPr>
        <w:pStyle w:val="BodytextAgency"/>
      </w:pPr>
      <w:r w:rsidRPr="00333F3F">
        <w:rPr>
          <w:b/>
          <w:bCs/>
        </w:rPr>
        <w:br/>
      </w:r>
      <w:r w:rsidR="00DE4C8A">
        <w:rPr>
          <w:b/>
          <w:bCs/>
        </w:rPr>
        <w:t>Preparatomtale</w:t>
      </w:r>
    </w:p>
    <w:p w14:paraId="0DB1CCA0" w14:textId="5DE239BE" w:rsidR="00F176F0" w:rsidRPr="00F176F0" w:rsidRDefault="009829D4" w:rsidP="00F176F0">
      <w:pPr>
        <w:pStyle w:val="BodytextAgency"/>
      </w:pPr>
      <w:r w:rsidRPr="00F176F0">
        <w:t xml:space="preserve">4.3 </w:t>
      </w:r>
      <w:r w:rsidR="00DE4C8A">
        <w:t xml:space="preserve">Kontraindikasjoner </w:t>
      </w:r>
    </w:p>
    <w:p w14:paraId="0DB1CCA1" w14:textId="1CC8E884" w:rsidR="00F176F0" w:rsidRPr="00DE4C8A" w:rsidRDefault="009829D4" w:rsidP="00F176F0">
      <w:pPr>
        <w:pStyle w:val="BodytextAgency"/>
        <w:rPr>
          <w:b/>
          <w:bCs/>
        </w:rPr>
      </w:pPr>
      <w:r w:rsidRPr="00DE4C8A">
        <w:rPr>
          <w:b/>
          <w:bCs/>
        </w:rPr>
        <w:t>MPA</w:t>
      </w:r>
      <w:r w:rsidR="00DE4C8A" w:rsidRPr="00DE4C8A">
        <w:rPr>
          <w:b/>
          <w:bCs/>
        </w:rPr>
        <w:t>-inneholdende produkter med ikke-onkologiske indikasjoner</w:t>
      </w:r>
      <w:r w:rsidRPr="00DE4C8A">
        <w:rPr>
          <w:b/>
          <w:bCs/>
        </w:rPr>
        <w:t xml:space="preserve"> (all</w:t>
      </w:r>
      <w:r w:rsidR="00DE4C8A" w:rsidRPr="00DE4C8A">
        <w:rPr>
          <w:b/>
          <w:bCs/>
        </w:rPr>
        <w:t>e</w:t>
      </w:r>
      <w:r w:rsidRPr="00DE4C8A">
        <w:rPr>
          <w:b/>
          <w:bCs/>
        </w:rPr>
        <w:t xml:space="preserve"> </w:t>
      </w:r>
      <w:r w:rsidR="00DE4C8A">
        <w:rPr>
          <w:b/>
          <w:bCs/>
        </w:rPr>
        <w:t xml:space="preserve">parenterale </w:t>
      </w:r>
      <w:r w:rsidRPr="00DE4C8A">
        <w:rPr>
          <w:b/>
          <w:bCs/>
        </w:rPr>
        <w:t>formul</w:t>
      </w:r>
      <w:r w:rsidR="00DE4C8A">
        <w:rPr>
          <w:b/>
          <w:bCs/>
        </w:rPr>
        <w:t>eringer</w:t>
      </w:r>
      <w:r w:rsidRPr="00DE4C8A">
        <w:rPr>
          <w:b/>
          <w:bCs/>
        </w:rPr>
        <w:t xml:space="preserve"> </w:t>
      </w:r>
      <w:r w:rsidR="00DE4C8A">
        <w:rPr>
          <w:b/>
          <w:bCs/>
        </w:rPr>
        <w:t>og</w:t>
      </w:r>
      <w:r w:rsidRPr="00DE4C8A">
        <w:rPr>
          <w:b/>
          <w:bCs/>
        </w:rPr>
        <w:t xml:space="preserve"> ≥</w:t>
      </w:r>
      <w:r w:rsidR="002B7B4B">
        <w:rPr>
          <w:b/>
          <w:bCs/>
        </w:rPr>
        <w:t xml:space="preserve"> </w:t>
      </w:r>
      <w:r w:rsidRPr="00DE4C8A">
        <w:rPr>
          <w:b/>
          <w:bCs/>
        </w:rPr>
        <w:t>100 mg oral</w:t>
      </w:r>
      <w:r w:rsidR="00DE4C8A">
        <w:rPr>
          <w:b/>
          <w:bCs/>
        </w:rPr>
        <w:t>e</w:t>
      </w:r>
      <w:r w:rsidRPr="00DE4C8A">
        <w:rPr>
          <w:b/>
          <w:bCs/>
        </w:rPr>
        <w:t xml:space="preserve"> formul</w:t>
      </w:r>
      <w:r w:rsidR="00DE4C8A">
        <w:rPr>
          <w:b/>
          <w:bCs/>
        </w:rPr>
        <w:t>eringer</w:t>
      </w:r>
      <w:r w:rsidRPr="00DE4C8A">
        <w:rPr>
          <w:b/>
          <w:bCs/>
        </w:rPr>
        <w:t>):</w:t>
      </w:r>
    </w:p>
    <w:p w14:paraId="0DB1CCA2" w14:textId="0357D7B0" w:rsidR="00F176F0" w:rsidRPr="00F176F0" w:rsidRDefault="00DE4C8A" w:rsidP="00F176F0">
      <w:pPr>
        <w:pStyle w:val="BodytextAgency"/>
        <w:rPr>
          <w:u w:val="single"/>
        </w:rPr>
      </w:pPr>
      <w:r>
        <w:rPr>
          <w:u w:val="single"/>
        </w:rPr>
        <w:t>M</w:t>
      </w:r>
      <w:r w:rsidRPr="00DE4C8A">
        <w:rPr>
          <w:u w:val="single"/>
        </w:rPr>
        <w:t>eningeom</w:t>
      </w:r>
      <w:r w:rsidR="009829D4" w:rsidRPr="00F176F0">
        <w:rPr>
          <w:u w:val="single"/>
        </w:rPr>
        <w:t xml:space="preserve"> </w:t>
      </w:r>
      <w:r w:rsidR="00331B16">
        <w:rPr>
          <w:u w:val="single"/>
        </w:rPr>
        <w:t>elle</w:t>
      </w:r>
      <w:r w:rsidR="009829D4" w:rsidRPr="00F176F0">
        <w:rPr>
          <w:u w:val="single"/>
        </w:rPr>
        <w:t xml:space="preserve">r </w:t>
      </w:r>
      <w:r>
        <w:rPr>
          <w:u w:val="single"/>
        </w:rPr>
        <w:t xml:space="preserve">tidligere </w:t>
      </w:r>
      <w:r w:rsidRPr="00DE4C8A">
        <w:rPr>
          <w:u w:val="single"/>
        </w:rPr>
        <w:t>meningeom</w:t>
      </w:r>
      <w:r w:rsidR="00CC330F">
        <w:rPr>
          <w:u w:val="single"/>
        </w:rPr>
        <w:t>.</w:t>
      </w:r>
    </w:p>
    <w:p w14:paraId="1ED98349" w14:textId="2E78FB31" w:rsidR="00DE4C8A" w:rsidRPr="00DE4C8A" w:rsidRDefault="009829D4" w:rsidP="00DE4C8A">
      <w:pPr>
        <w:pStyle w:val="BodytextAgency"/>
        <w:rPr>
          <w:b/>
          <w:bCs/>
        </w:rPr>
      </w:pPr>
      <w:r w:rsidRPr="00F176F0">
        <w:rPr>
          <w:b/>
          <w:bCs/>
        </w:rPr>
        <w:br/>
      </w:r>
      <w:r w:rsidR="00DE4C8A" w:rsidRPr="00DE4C8A">
        <w:rPr>
          <w:b/>
          <w:bCs/>
        </w:rPr>
        <w:t xml:space="preserve">MPA-inneholdende produkter med </w:t>
      </w:r>
      <w:r w:rsidR="00DE4C8A">
        <w:rPr>
          <w:b/>
          <w:bCs/>
        </w:rPr>
        <w:t xml:space="preserve">både </w:t>
      </w:r>
      <w:r w:rsidR="00DE4C8A" w:rsidRPr="00DE4C8A">
        <w:rPr>
          <w:b/>
          <w:bCs/>
        </w:rPr>
        <w:t xml:space="preserve">ikke-onkologiske </w:t>
      </w:r>
      <w:r w:rsidR="00DE4C8A">
        <w:rPr>
          <w:b/>
          <w:bCs/>
        </w:rPr>
        <w:t xml:space="preserve">og onkologiske </w:t>
      </w:r>
      <w:r w:rsidR="00DE4C8A" w:rsidRPr="00DE4C8A">
        <w:rPr>
          <w:b/>
          <w:bCs/>
        </w:rPr>
        <w:t xml:space="preserve">indikasjoner (alle </w:t>
      </w:r>
      <w:r w:rsidR="00DE4C8A">
        <w:rPr>
          <w:b/>
          <w:bCs/>
        </w:rPr>
        <w:t xml:space="preserve">parenterale </w:t>
      </w:r>
      <w:r w:rsidR="00DE4C8A" w:rsidRPr="00DE4C8A">
        <w:rPr>
          <w:b/>
          <w:bCs/>
        </w:rPr>
        <w:t>formul</w:t>
      </w:r>
      <w:r w:rsidR="00DE4C8A">
        <w:rPr>
          <w:b/>
          <w:bCs/>
        </w:rPr>
        <w:t>eringer</w:t>
      </w:r>
      <w:r w:rsidR="00DE4C8A" w:rsidRPr="00DE4C8A">
        <w:rPr>
          <w:b/>
          <w:bCs/>
        </w:rPr>
        <w:t xml:space="preserve"> </w:t>
      </w:r>
      <w:r w:rsidR="00DE4C8A">
        <w:rPr>
          <w:b/>
          <w:bCs/>
        </w:rPr>
        <w:t>og</w:t>
      </w:r>
      <w:r w:rsidR="00DE4C8A" w:rsidRPr="00DE4C8A">
        <w:rPr>
          <w:b/>
          <w:bCs/>
        </w:rPr>
        <w:t xml:space="preserve"> ≥</w:t>
      </w:r>
      <w:r w:rsidR="002B7B4B">
        <w:rPr>
          <w:b/>
          <w:bCs/>
        </w:rPr>
        <w:t xml:space="preserve"> </w:t>
      </w:r>
      <w:r w:rsidR="00DE4C8A" w:rsidRPr="00DE4C8A">
        <w:rPr>
          <w:b/>
          <w:bCs/>
        </w:rPr>
        <w:t>100 mg oral</w:t>
      </w:r>
      <w:r w:rsidR="00DE4C8A">
        <w:rPr>
          <w:b/>
          <w:bCs/>
        </w:rPr>
        <w:t>e</w:t>
      </w:r>
      <w:r w:rsidR="00DE4C8A" w:rsidRPr="00DE4C8A">
        <w:rPr>
          <w:b/>
          <w:bCs/>
        </w:rPr>
        <w:t xml:space="preserve"> formul</w:t>
      </w:r>
      <w:r w:rsidR="00DE4C8A">
        <w:rPr>
          <w:b/>
          <w:bCs/>
        </w:rPr>
        <w:t>eringer</w:t>
      </w:r>
      <w:r w:rsidR="00DE4C8A" w:rsidRPr="00DE4C8A">
        <w:rPr>
          <w:b/>
          <w:bCs/>
        </w:rPr>
        <w:t>):</w:t>
      </w:r>
    </w:p>
    <w:p w14:paraId="0DB1CCA4" w14:textId="07A8CB96" w:rsidR="00F176F0" w:rsidRPr="00DE4C8A" w:rsidRDefault="00DE4C8A" w:rsidP="00F176F0">
      <w:pPr>
        <w:pStyle w:val="BodytextAgency"/>
        <w:rPr>
          <w:u w:val="single"/>
        </w:rPr>
      </w:pPr>
      <w:r>
        <w:rPr>
          <w:u w:val="single"/>
        </w:rPr>
        <w:t>M</w:t>
      </w:r>
      <w:r w:rsidRPr="00DE4C8A">
        <w:rPr>
          <w:u w:val="single"/>
        </w:rPr>
        <w:t>eningeom</w:t>
      </w:r>
      <w:r w:rsidRPr="00F176F0">
        <w:rPr>
          <w:u w:val="single"/>
        </w:rPr>
        <w:t xml:space="preserve"> </w:t>
      </w:r>
      <w:r w:rsidR="00331B16">
        <w:rPr>
          <w:u w:val="single"/>
        </w:rPr>
        <w:t>eller</w:t>
      </w:r>
      <w:r w:rsidRPr="00F176F0">
        <w:rPr>
          <w:u w:val="single"/>
        </w:rPr>
        <w:t xml:space="preserve"> </w:t>
      </w:r>
      <w:r>
        <w:rPr>
          <w:u w:val="single"/>
        </w:rPr>
        <w:t xml:space="preserve">tidligere </w:t>
      </w:r>
      <w:r w:rsidRPr="00DE4C8A">
        <w:rPr>
          <w:u w:val="single"/>
        </w:rPr>
        <w:t>meningeom</w:t>
      </w:r>
      <w:r w:rsidR="009829D4" w:rsidRPr="00DE4C8A">
        <w:rPr>
          <w:u w:val="single"/>
        </w:rPr>
        <w:t xml:space="preserve"> (for </w:t>
      </w:r>
      <w:r w:rsidRPr="00DE4C8A">
        <w:rPr>
          <w:u w:val="single"/>
        </w:rPr>
        <w:t>ikke</w:t>
      </w:r>
      <w:r w:rsidR="009829D4" w:rsidRPr="00DE4C8A">
        <w:rPr>
          <w:u w:val="single"/>
        </w:rPr>
        <w:t>-on</w:t>
      </w:r>
      <w:r w:rsidRPr="00DE4C8A">
        <w:rPr>
          <w:u w:val="single"/>
        </w:rPr>
        <w:t>k</w:t>
      </w:r>
      <w:r w:rsidR="009829D4" w:rsidRPr="00DE4C8A">
        <w:rPr>
          <w:u w:val="single"/>
        </w:rPr>
        <w:t>olog</w:t>
      </w:r>
      <w:r>
        <w:rPr>
          <w:u w:val="single"/>
        </w:rPr>
        <w:t>iske indikasjoner</w:t>
      </w:r>
      <w:r w:rsidR="009829D4" w:rsidRPr="00DE4C8A">
        <w:rPr>
          <w:u w:val="single"/>
        </w:rPr>
        <w:t xml:space="preserve">). </w:t>
      </w:r>
    </w:p>
    <w:p w14:paraId="0DB1CCA5" w14:textId="21FE991B" w:rsidR="00F176F0" w:rsidRPr="00F176F0" w:rsidRDefault="00A134C7" w:rsidP="00F176F0">
      <w:pPr>
        <w:pStyle w:val="BodytextAgency"/>
        <w:rPr>
          <w:u w:val="single"/>
        </w:rPr>
      </w:pPr>
      <w:r w:rsidRPr="00DE4C8A">
        <w:br/>
      </w:r>
      <w:r w:rsidR="009829D4" w:rsidRPr="00F176F0">
        <w:t>4.4 Spe</w:t>
      </w:r>
      <w:r w:rsidR="00DE4C8A">
        <w:t>sielle advarsler og forsiktighetsregler</w:t>
      </w:r>
    </w:p>
    <w:p w14:paraId="347BBF59" w14:textId="7FA77206" w:rsidR="00DE4C8A" w:rsidRPr="00DE4C8A" w:rsidRDefault="00DE4C8A" w:rsidP="00DE4C8A">
      <w:pPr>
        <w:pStyle w:val="BodytextAgency"/>
        <w:rPr>
          <w:b/>
          <w:bCs/>
        </w:rPr>
      </w:pPr>
      <w:r w:rsidRPr="00DE4C8A">
        <w:rPr>
          <w:b/>
          <w:bCs/>
        </w:rPr>
        <w:t xml:space="preserve">MPA-inneholdende produkter med ikke-onkologiske indikasjoner (alle </w:t>
      </w:r>
      <w:r>
        <w:rPr>
          <w:b/>
          <w:bCs/>
        </w:rPr>
        <w:t xml:space="preserve">parenterale </w:t>
      </w:r>
      <w:r w:rsidRPr="00DE4C8A">
        <w:rPr>
          <w:b/>
          <w:bCs/>
        </w:rPr>
        <w:t>formul</w:t>
      </w:r>
      <w:r>
        <w:rPr>
          <w:b/>
          <w:bCs/>
        </w:rPr>
        <w:t>eringer</w:t>
      </w:r>
      <w:r w:rsidRPr="00DE4C8A">
        <w:rPr>
          <w:b/>
          <w:bCs/>
        </w:rPr>
        <w:t xml:space="preserve"> </w:t>
      </w:r>
      <w:r>
        <w:rPr>
          <w:b/>
          <w:bCs/>
        </w:rPr>
        <w:t>og</w:t>
      </w:r>
      <w:r w:rsidRPr="00DE4C8A">
        <w:rPr>
          <w:b/>
          <w:bCs/>
        </w:rPr>
        <w:t xml:space="preserve"> ≥</w:t>
      </w:r>
      <w:r w:rsidR="002B7B4B">
        <w:rPr>
          <w:b/>
          <w:bCs/>
        </w:rPr>
        <w:t xml:space="preserve"> </w:t>
      </w:r>
      <w:r w:rsidRPr="00DE4C8A">
        <w:rPr>
          <w:b/>
          <w:bCs/>
        </w:rPr>
        <w:t>100 mg oral</w:t>
      </w:r>
      <w:r>
        <w:rPr>
          <w:b/>
          <w:bCs/>
        </w:rPr>
        <w:t>e</w:t>
      </w:r>
      <w:r w:rsidRPr="00DE4C8A">
        <w:rPr>
          <w:b/>
          <w:bCs/>
        </w:rPr>
        <w:t xml:space="preserve"> formul</w:t>
      </w:r>
      <w:r>
        <w:rPr>
          <w:b/>
          <w:bCs/>
        </w:rPr>
        <w:t>eringer</w:t>
      </w:r>
      <w:r w:rsidRPr="00DE4C8A">
        <w:rPr>
          <w:b/>
          <w:bCs/>
        </w:rPr>
        <w:t>):</w:t>
      </w:r>
    </w:p>
    <w:p w14:paraId="0DB1CCA7" w14:textId="0BCA7C8F" w:rsidR="00F176F0" w:rsidRPr="00F176F0" w:rsidRDefault="00DE4C8A" w:rsidP="00F176F0">
      <w:pPr>
        <w:pStyle w:val="BodytextAgency"/>
        <w:rPr>
          <w:u w:val="single"/>
        </w:rPr>
      </w:pPr>
      <w:r w:rsidRPr="00F176F0">
        <w:rPr>
          <w:u w:val="single"/>
        </w:rPr>
        <w:lastRenderedPageBreak/>
        <w:t>Meningeom</w:t>
      </w:r>
    </w:p>
    <w:p w14:paraId="243CC8E9" w14:textId="318288E8" w:rsidR="002B7B4B" w:rsidRDefault="002B7B4B" w:rsidP="00F176F0">
      <w:pPr>
        <w:pStyle w:val="BodytextAgency"/>
        <w:rPr>
          <w:rFonts w:cs="Times New Roman"/>
          <w:u w:val="single"/>
        </w:rPr>
      </w:pPr>
      <w:r w:rsidRPr="002B7B4B">
        <w:rPr>
          <w:rFonts w:cs="Times New Roman"/>
          <w:u w:val="single"/>
        </w:rPr>
        <w:t>Tilfeller av meningeom (enkeltstående og</w:t>
      </w:r>
      <w:r w:rsidR="003830A3">
        <w:rPr>
          <w:rFonts w:cs="Times New Roman"/>
          <w:u w:val="single"/>
        </w:rPr>
        <w:t xml:space="preserve"> </w:t>
      </w:r>
      <w:r w:rsidR="003830A3" w:rsidRPr="003830A3">
        <w:rPr>
          <w:rFonts w:cs="Times New Roman"/>
          <w:u w:val="single"/>
        </w:rPr>
        <w:t>multiple</w:t>
      </w:r>
      <w:r w:rsidR="003830A3">
        <w:rPr>
          <w:rFonts w:cs="Times New Roman"/>
          <w:u w:val="single"/>
        </w:rPr>
        <w:t>)</w:t>
      </w:r>
      <w:r w:rsidRPr="002B7B4B">
        <w:rPr>
          <w:rFonts w:cs="Times New Roman"/>
          <w:u w:val="single"/>
        </w:rPr>
        <w:t xml:space="preserve"> </w:t>
      </w:r>
      <w:r>
        <w:rPr>
          <w:rFonts w:cs="Times New Roman"/>
          <w:u w:val="single"/>
        </w:rPr>
        <w:t>er</w:t>
      </w:r>
      <w:r w:rsidRPr="002B7B4B">
        <w:rPr>
          <w:rFonts w:cs="Times New Roman"/>
          <w:u w:val="single"/>
        </w:rPr>
        <w:t xml:space="preserve"> rapportert hos pasienter som har blitt behandlet med medroksyprogesteronacetat over en lengre periode (flere år). Pasienter som behandles med medroksyprogesteronacetat bør overvåkes </w:t>
      </w:r>
      <w:r w:rsidRPr="00E6138B">
        <w:rPr>
          <w:rFonts w:cs="Times New Roman"/>
          <w:u w:val="single"/>
        </w:rPr>
        <w:t xml:space="preserve">for tegn og symptomer på meningeom i samsvar med klinisk praksis. </w:t>
      </w:r>
      <w:r w:rsidR="00E6138B" w:rsidRPr="00E6138B">
        <w:rPr>
          <w:rFonts w:cs="Times New Roman"/>
          <w:u w:val="single"/>
        </w:rPr>
        <w:t>B</w:t>
      </w:r>
      <w:r w:rsidRPr="00E6138B">
        <w:rPr>
          <w:rFonts w:cs="Times New Roman"/>
          <w:u w:val="single"/>
        </w:rPr>
        <w:t>ehandlingen med medroksyprogesteronacetat</w:t>
      </w:r>
      <w:r w:rsidR="00E6138B" w:rsidRPr="00E6138B">
        <w:rPr>
          <w:rFonts w:cs="Times New Roman"/>
          <w:u w:val="single"/>
        </w:rPr>
        <w:t xml:space="preserve"> må</w:t>
      </w:r>
      <w:r w:rsidRPr="00E6138B">
        <w:rPr>
          <w:rFonts w:cs="Times New Roman"/>
          <w:u w:val="single"/>
        </w:rPr>
        <w:t xml:space="preserve"> stoppes dersom en pasient får diagnosen meningeom</w:t>
      </w:r>
      <w:r w:rsidR="00E6138B" w:rsidRPr="00E6138B">
        <w:rPr>
          <w:rFonts w:cs="Times New Roman"/>
          <w:u w:val="single"/>
        </w:rPr>
        <w:t>, som et forsiktighetstiltak</w:t>
      </w:r>
      <w:r w:rsidRPr="00E6138B">
        <w:rPr>
          <w:rFonts w:cs="Times New Roman"/>
          <w:u w:val="single"/>
        </w:rPr>
        <w:t xml:space="preserve">. I noen tilfeller ble </w:t>
      </w:r>
      <w:r w:rsidR="00E6059C" w:rsidRPr="00E6138B">
        <w:rPr>
          <w:rFonts w:cs="Times New Roman"/>
          <w:u w:val="single"/>
        </w:rPr>
        <w:t xml:space="preserve">det observert </w:t>
      </w:r>
      <w:r w:rsidRPr="00E6138B">
        <w:rPr>
          <w:rFonts w:cs="Times New Roman"/>
          <w:u w:val="single"/>
        </w:rPr>
        <w:t>krymping av meningeom etter at behandlingen med medroksyprogesteronacetat</w:t>
      </w:r>
      <w:r w:rsidRPr="002B7B4B">
        <w:rPr>
          <w:rFonts w:cs="Times New Roman"/>
          <w:u w:val="single"/>
        </w:rPr>
        <w:t xml:space="preserve"> </w:t>
      </w:r>
      <w:r w:rsidR="007E038C" w:rsidRPr="002B7B4B">
        <w:rPr>
          <w:rFonts w:cs="Times New Roman"/>
          <w:u w:val="single"/>
        </w:rPr>
        <w:t xml:space="preserve">depot </w:t>
      </w:r>
      <w:r w:rsidRPr="002B7B4B">
        <w:rPr>
          <w:rFonts w:cs="Times New Roman"/>
          <w:u w:val="single"/>
        </w:rPr>
        <w:t xml:space="preserve">ble </w:t>
      </w:r>
      <w:r w:rsidR="00E6059C">
        <w:rPr>
          <w:rFonts w:cs="Times New Roman"/>
          <w:u w:val="single"/>
        </w:rPr>
        <w:t>avsluttet</w:t>
      </w:r>
      <w:r w:rsidR="003830A3">
        <w:rPr>
          <w:rFonts w:cs="Times New Roman"/>
          <w:u w:val="single"/>
        </w:rPr>
        <w:t>.</w:t>
      </w:r>
    </w:p>
    <w:p w14:paraId="1E7B1518" w14:textId="7D7F1C64" w:rsidR="002B7B4B" w:rsidRPr="00DE4C8A" w:rsidRDefault="009829D4" w:rsidP="002B7B4B">
      <w:pPr>
        <w:pStyle w:val="BodytextAgency"/>
        <w:rPr>
          <w:b/>
          <w:bCs/>
        </w:rPr>
      </w:pPr>
      <w:r>
        <w:rPr>
          <w:b/>
          <w:bCs/>
        </w:rPr>
        <w:br/>
      </w:r>
      <w:r w:rsidR="002B7B4B" w:rsidRPr="00DE4C8A">
        <w:rPr>
          <w:b/>
          <w:bCs/>
        </w:rPr>
        <w:t xml:space="preserve">MPA-inneholdende produkter med onkologiske indikasjoner (alle </w:t>
      </w:r>
      <w:r w:rsidR="002B7B4B">
        <w:rPr>
          <w:b/>
          <w:bCs/>
        </w:rPr>
        <w:t xml:space="preserve">parenterale </w:t>
      </w:r>
      <w:r w:rsidR="002B7B4B" w:rsidRPr="00DE4C8A">
        <w:rPr>
          <w:b/>
          <w:bCs/>
        </w:rPr>
        <w:t>formul</w:t>
      </w:r>
      <w:r w:rsidR="002B7B4B">
        <w:rPr>
          <w:b/>
          <w:bCs/>
        </w:rPr>
        <w:t>eringer</w:t>
      </w:r>
      <w:r w:rsidR="002B7B4B" w:rsidRPr="00DE4C8A">
        <w:rPr>
          <w:b/>
          <w:bCs/>
        </w:rPr>
        <w:t xml:space="preserve"> </w:t>
      </w:r>
      <w:r w:rsidR="002B7B4B">
        <w:rPr>
          <w:b/>
          <w:bCs/>
        </w:rPr>
        <w:t>og</w:t>
      </w:r>
      <w:r w:rsidR="002B7B4B" w:rsidRPr="00DE4C8A">
        <w:rPr>
          <w:b/>
          <w:bCs/>
        </w:rPr>
        <w:t xml:space="preserve"> ≥</w:t>
      </w:r>
      <w:r w:rsidR="002B7B4B">
        <w:rPr>
          <w:b/>
          <w:bCs/>
        </w:rPr>
        <w:t xml:space="preserve"> </w:t>
      </w:r>
      <w:r w:rsidR="002B7B4B" w:rsidRPr="00DE4C8A">
        <w:rPr>
          <w:b/>
          <w:bCs/>
        </w:rPr>
        <w:t>100 mg oral</w:t>
      </w:r>
      <w:r w:rsidR="002B7B4B">
        <w:rPr>
          <w:b/>
          <w:bCs/>
        </w:rPr>
        <w:t>e</w:t>
      </w:r>
      <w:r w:rsidR="002B7B4B" w:rsidRPr="00DE4C8A">
        <w:rPr>
          <w:b/>
          <w:bCs/>
        </w:rPr>
        <w:t xml:space="preserve"> formul</w:t>
      </w:r>
      <w:r w:rsidR="002B7B4B">
        <w:rPr>
          <w:b/>
          <w:bCs/>
        </w:rPr>
        <w:t>eringer</w:t>
      </w:r>
      <w:r w:rsidR="002B7B4B" w:rsidRPr="00DE4C8A">
        <w:rPr>
          <w:b/>
          <w:bCs/>
        </w:rPr>
        <w:t>):</w:t>
      </w:r>
    </w:p>
    <w:p w14:paraId="0DB1CCAB" w14:textId="583E8742" w:rsidR="00F176F0" w:rsidRPr="00F176F0" w:rsidRDefault="009829D4" w:rsidP="00F176F0">
      <w:pPr>
        <w:pStyle w:val="BodytextAgency"/>
        <w:rPr>
          <w:b/>
          <w:bCs/>
          <w:u w:val="single"/>
        </w:rPr>
      </w:pPr>
      <w:r w:rsidRPr="00F176F0">
        <w:rPr>
          <w:u w:val="single"/>
        </w:rPr>
        <w:t>Mening</w:t>
      </w:r>
      <w:r w:rsidR="002B7B4B">
        <w:rPr>
          <w:u w:val="single"/>
        </w:rPr>
        <w:t>eo</w:t>
      </w:r>
      <w:r w:rsidRPr="00F176F0">
        <w:rPr>
          <w:u w:val="single"/>
        </w:rPr>
        <w:t>m</w:t>
      </w:r>
    </w:p>
    <w:p w14:paraId="2F6B6D46" w14:textId="4F323006" w:rsidR="002B7B4B" w:rsidRDefault="002B7B4B" w:rsidP="002B7B4B">
      <w:pPr>
        <w:pStyle w:val="BodytextAgency"/>
        <w:rPr>
          <w:rFonts w:cs="Times New Roman"/>
          <w:u w:val="single"/>
        </w:rPr>
      </w:pPr>
      <w:r w:rsidRPr="002B7B4B">
        <w:rPr>
          <w:rFonts w:cs="Times New Roman"/>
          <w:u w:val="single"/>
        </w:rPr>
        <w:t xml:space="preserve">Tilfeller av meningeom (enkeltstående og </w:t>
      </w:r>
      <w:r w:rsidR="003830A3" w:rsidRPr="003830A3">
        <w:rPr>
          <w:rFonts w:cs="Times New Roman"/>
          <w:u w:val="single"/>
        </w:rPr>
        <w:t>multiple</w:t>
      </w:r>
      <w:r w:rsidRPr="002B7B4B">
        <w:rPr>
          <w:rFonts w:cs="Times New Roman"/>
          <w:u w:val="single"/>
        </w:rPr>
        <w:t xml:space="preserve">) </w:t>
      </w:r>
      <w:r>
        <w:rPr>
          <w:rFonts w:cs="Times New Roman"/>
          <w:u w:val="single"/>
        </w:rPr>
        <w:t>er</w:t>
      </w:r>
      <w:r w:rsidRPr="002B7B4B">
        <w:rPr>
          <w:rFonts w:cs="Times New Roman"/>
          <w:u w:val="single"/>
        </w:rPr>
        <w:t xml:space="preserve"> rapportert hos pasienter som har blitt behandlet med medroksyprogesteronacetat over en lengre periode (flere år). Pasienter som behandles med medroksyprogesteronacetat bør overvåkes for tegn og symptomer på meningeom i samsvar med klinisk praksis. Hvis en pasient får diagnosen meningeom, bør behovet for videre behandling med medroksyprogesteronacetat vurderes nøye </w:t>
      </w:r>
      <w:r w:rsidR="007E038C">
        <w:rPr>
          <w:rFonts w:cs="Times New Roman"/>
          <w:u w:val="single"/>
        </w:rPr>
        <w:t>i hvert</w:t>
      </w:r>
      <w:r w:rsidR="00E6059C">
        <w:rPr>
          <w:rFonts w:cs="Times New Roman"/>
          <w:u w:val="single"/>
        </w:rPr>
        <w:t xml:space="preserve"> enkelt</w:t>
      </w:r>
      <w:r w:rsidRPr="002B7B4B">
        <w:rPr>
          <w:rFonts w:cs="Times New Roman"/>
          <w:u w:val="single"/>
        </w:rPr>
        <w:t xml:space="preserve"> tilfelle </w:t>
      </w:r>
      <w:r w:rsidR="00E6059C">
        <w:rPr>
          <w:rFonts w:cs="Times New Roman"/>
          <w:u w:val="single"/>
        </w:rPr>
        <w:t>hvor man tar</w:t>
      </w:r>
      <w:r w:rsidRPr="002B7B4B">
        <w:rPr>
          <w:rFonts w:cs="Times New Roman"/>
          <w:u w:val="single"/>
        </w:rPr>
        <w:t xml:space="preserve"> fordeler og risikoer</w:t>
      </w:r>
      <w:r w:rsidR="007E038C">
        <w:rPr>
          <w:rFonts w:cs="Times New Roman"/>
          <w:u w:val="single"/>
        </w:rPr>
        <w:t xml:space="preserve"> </w:t>
      </w:r>
      <w:r w:rsidR="00E6059C">
        <w:rPr>
          <w:rFonts w:cs="Times New Roman"/>
          <w:u w:val="single"/>
        </w:rPr>
        <w:t>med i vurderingen</w:t>
      </w:r>
      <w:r w:rsidRPr="002B7B4B">
        <w:rPr>
          <w:rFonts w:cs="Times New Roman"/>
          <w:u w:val="single"/>
        </w:rPr>
        <w:t>.</w:t>
      </w:r>
      <w:r>
        <w:rPr>
          <w:rFonts w:cs="Times New Roman"/>
          <w:u w:val="single"/>
        </w:rPr>
        <w:t xml:space="preserve"> </w:t>
      </w:r>
      <w:r w:rsidRPr="002B7B4B">
        <w:rPr>
          <w:rFonts w:cs="Times New Roman"/>
          <w:u w:val="single"/>
        </w:rPr>
        <w:t>I noen tilfeller ble</w:t>
      </w:r>
      <w:r w:rsidR="00E6059C">
        <w:rPr>
          <w:rFonts w:cs="Times New Roman"/>
          <w:u w:val="single"/>
        </w:rPr>
        <w:t xml:space="preserve"> det observert</w:t>
      </w:r>
      <w:r w:rsidRPr="002B7B4B">
        <w:rPr>
          <w:rFonts w:cs="Times New Roman"/>
          <w:u w:val="single"/>
        </w:rPr>
        <w:t xml:space="preserve"> krymping av meningeom etter at behandlingen med medroksyprogesteronacetat</w:t>
      </w:r>
      <w:r w:rsidR="007E038C">
        <w:rPr>
          <w:rFonts w:cs="Times New Roman"/>
          <w:u w:val="single"/>
        </w:rPr>
        <w:t xml:space="preserve"> depot</w:t>
      </w:r>
      <w:r w:rsidRPr="007E038C">
        <w:rPr>
          <w:rFonts w:cs="Times New Roman"/>
          <w:u w:val="single"/>
        </w:rPr>
        <w:t xml:space="preserve"> </w:t>
      </w:r>
      <w:r w:rsidRPr="002B7B4B">
        <w:rPr>
          <w:rFonts w:cs="Times New Roman"/>
          <w:u w:val="single"/>
        </w:rPr>
        <w:t xml:space="preserve">ble </w:t>
      </w:r>
      <w:r w:rsidR="00E6059C">
        <w:rPr>
          <w:rFonts w:cs="Times New Roman"/>
          <w:u w:val="single"/>
        </w:rPr>
        <w:t>avsluttet</w:t>
      </w:r>
      <w:r w:rsidR="00F7654B">
        <w:rPr>
          <w:rFonts w:cs="Times New Roman"/>
          <w:u w:val="single"/>
        </w:rPr>
        <w:t>.</w:t>
      </w:r>
    </w:p>
    <w:p w14:paraId="0DB1CCAD" w14:textId="0BA73643" w:rsidR="00F176F0" w:rsidRPr="00F176F0" w:rsidRDefault="009829D4" w:rsidP="00F176F0">
      <w:pPr>
        <w:pStyle w:val="BodytextAgency"/>
        <w:rPr>
          <w:b/>
          <w:bCs/>
          <w:u w:val="single"/>
        </w:rPr>
      </w:pPr>
      <w:r w:rsidRPr="00F176F0">
        <w:br/>
      </w:r>
      <w:r w:rsidR="00791277" w:rsidRPr="00DE4C8A">
        <w:rPr>
          <w:b/>
          <w:bCs/>
        </w:rPr>
        <w:t xml:space="preserve">MPA-inneholdende produkter med </w:t>
      </w:r>
      <w:r w:rsidR="00791277">
        <w:rPr>
          <w:b/>
          <w:bCs/>
        </w:rPr>
        <w:t xml:space="preserve">både </w:t>
      </w:r>
      <w:r w:rsidR="00791277" w:rsidRPr="00DE4C8A">
        <w:rPr>
          <w:b/>
          <w:bCs/>
        </w:rPr>
        <w:t xml:space="preserve">ikke-onkologiske </w:t>
      </w:r>
      <w:r w:rsidR="00791277">
        <w:rPr>
          <w:b/>
          <w:bCs/>
        </w:rPr>
        <w:t xml:space="preserve">og onkologiske </w:t>
      </w:r>
      <w:r w:rsidR="00791277" w:rsidRPr="00DE4C8A">
        <w:rPr>
          <w:b/>
          <w:bCs/>
        </w:rPr>
        <w:t xml:space="preserve">indikasjoner (alle </w:t>
      </w:r>
      <w:r w:rsidR="00791277">
        <w:rPr>
          <w:b/>
          <w:bCs/>
        </w:rPr>
        <w:t xml:space="preserve">parenterale </w:t>
      </w:r>
      <w:r w:rsidR="00791277" w:rsidRPr="00DE4C8A">
        <w:rPr>
          <w:b/>
          <w:bCs/>
        </w:rPr>
        <w:t>formul</w:t>
      </w:r>
      <w:r w:rsidR="00791277">
        <w:rPr>
          <w:b/>
          <w:bCs/>
        </w:rPr>
        <w:t>eringer</w:t>
      </w:r>
      <w:r w:rsidR="00791277" w:rsidRPr="00DE4C8A">
        <w:rPr>
          <w:b/>
          <w:bCs/>
        </w:rPr>
        <w:t xml:space="preserve"> </w:t>
      </w:r>
      <w:r w:rsidR="00791277">
        <w:rPr>
          <w:b/>
          <w:bCs/>
        </w:rPr>
        <w:t>og</w:t>
      </w:r>
      <w:r w:rsidR="00791277" w:rsidRPr="00DE4C8A">
        <w:rPr>
          <w:b/>
          <w:bCs/>
        </w:rPr>
        <w:t xml:space="preserve"> ≥</w:t>
      </w:r>
      <w:r w:rsidR="00791277">
        <w:rPr>
          <w:b/>
          <w:bCs/>
        </w:rPr>
        <w:t xml:space="preserve"> </w:t>
      </w:r>
      <w:r w:rsidR="00791277" w:rsidRPr="00DE4C8A">
        <w:rPr>
          <w:b/>
          <w:bCs/>
        </w:rPr>
        <w:t>100 mg oral</w:t>
      </w:r>
      <w:r w:rsidR="00791277">
        <w:rPr>
          <w:b/>
          <w:bCs/>
        </w:rPr>
        <w:t>e</w:t>
      </w:r>
      <w:r w:rsidR="00791277" w:rsidRPr="00DE4C8A">
        <w:rPr>
          <w:b/>
          <w:bCs/>
        </w:rPr>
        <w:t xml:space="preserve"> formul</w:t>
      </w:r>
      <w:r w:rsidR="00791277">
        <w:rPr>
          <w:b/>
          <w:bCs/>
        </w:rPr>
        <w:t>eringer</w:t>
      </w:r>
      <w:r w:rsidR="00791277" w:rsidRPr="00DE4C8A">
        <w:rPr>
          <w:b/>
          <w:bCs/>
        </w:rPr>
        <w:t>):</w:t>
      </w:r>
    </w:p>
    <w:p w14:paraId="0DB1CCAE" w14:textId="01CD5DF0" w:rsidR="00F176F0" w:rsidRPr="00F176F0" w:rsidRDefault="009829D4" w:rsidP="00F176F0">
      <w:pPr>
        <w:pStyle w:val="BodytextAgency"/>
        <w:rPr>
          <w:u w:val="single"/>
        </w:rPr>
      </w:pPr>
      <w:r w:rsidRPr="00F176F0">
        <w:rPr>
          <w:u w:val="single"/>
        </w:rPr>
        <w:t>Mening</w:t>
      </w:r>
      <w:r w:rsidR="00791277">
        <w:rPr>
          <w:u w:val="single"/>
        </w:rPr>
        <w:t xml:space="preserve">eom </w:t>
      </w:r>
    </w:p>
    <w:p w14:paraId="0C3A8EEB" w14:textId="5A3BD6B0" w:rsidR="00791277" w:rsidRDefault="00791277" w:rsidP="00F176F0">
      <w:pPr>
        <w:pStyle w:val="BodytextAgency"/>
        <w:rPr>
          <w:rFonts w:cs="Times New Roman"/>
          <w:u w:val="single"/>
        </w:rPr>
      </w:pPr>
      <w:r w:rsidRPr="002B7B4B">
        <w:rPr>
          <w:rFonts w:cs="Times New Roman"/>
          <w:u w:val="single"/>
        </w:rPr>
        <w:t xml:space="preserve">Tilfeller av meningeom (enkeltstående og </w:t>
      </w:r>
      <w:r w:rsidR="003830A3" w:rsidRPr="003830A3">
        <w:rPr>
          <w:rFonts w:cs="Times New Roman"/>
          <w:u w:val="single"/>
        </w:rPr>
        <w:t>multiple</w:t>
      </w:r>
      <w:r w:rsidRPr="002B7B4B">
        <w:rPr>
          <w:rFonts w:cs="Times New Roman"/>
          <w:u w:val="single"/>
        </w:rPr>
        <w:t xml:space="preserve">) </w:t>
      </w:r>
      <w:r>
        <w:rPr>
          <w:rFonts w:cs="Times New Roman"/>
          <w:u w:val="single"/>
        </w:rPr>
        <w:t>er</w:t>
      </w:r>
      <w:r w:rsidRPr="002B7B4B">
        <w:rPr>
          <w:rFonts w:cs="Times New Roman"/>
          <w:u w:val="single"/>
        </w:rPr>
        <w:t xml:space="preserve"> rapportert hos pasienter som har blitt behandlet med medroksyprogesteronacetat over en lengre periode (flere år). Pasienter som behandles med medroksyprogesteronacetat bør overvåkes for tegn og symptomer på meningeom i samsvar med klinisk praksis. </w:t>
      </w:r>
    </w:p>
    <w:p w14:paraId="1F5F5D4F" w14:textId="39844C4A" w:rsidR="00B074D2" w:rsidRPr="00791277" w:rsidRDefault="00791277" w:rsidP="00F176F0">
      <w:pPr>
        <w:pStyle w:val="BodytextAgency"/>
        <w:rPr>
          <w:rFonts w:cs="Times New Roman"/>
          <w:u w:val="single"/>
        </w:rPr>
      </w:pPr>
      <w:r w:rsidRPr="002B7B4B">
        <w:rPr>
          <w:rFonts w:cs="Times New Roman"/>
          <w:u w:val="single"/>
        </w:rPr>
        <w:t xml:space="preserve">I noen tilfeller ble </w:t>
      </w:r>
      <w:r w:rsidR="00EF22E0">
        <w:rPr>
          <w:rFonts w:cs="Times New Roman"/>
          <w:u w:val="single"/>
        </w:rPr>
        <w:t xml:space="preserve">det observert </w:t>
      </w:r>
      <w:r w:rsidRPr="002B7B4B">
        <w:rPr>
          <w:rFonts w:cs="Times New Roman"/>
          <w:u w:val="single"/>
        </w:rPr>
        <w:t xml:space="preserve">krymping av meningeom etter at behandlingen med medroksyprogesteronacetat </w:t>
      </w:r>
      <w:r w:rsidR="007E038C" w:rsidRPr="002B7B4B">
        <w:rPr>
          <w:rFonts w:cs="Times New Roman"/>
          <w:u w:val="single"/>
        </w:rPr>
        <w:t xml:space="preserve">depot </w:t>
      </w:r>
      <w:r w:rsidRPr="002B7B4B">
        <w:rPr>
          <w:rFonts w:cs="Times New Roman"/>
          <w:u w:val="single"/>
        </w:rPr>
        <w:t xml:space="preserve">ble </w:t>
      </w:r>
      <w:r w:rsidR="00EF22E0">
        <w:rPr>
          <w:rFonts w:cs="Times New Roman"/>
          <w:u w:val="single"/>
        </w:rPr>
        <w:t>avsluttet</w:t>
      </w:r>
      <w:r w:rsidRPr="002B7B4B">
        <w:rPr>
          <w:rFonts w:cs="Times New Roman"/>
          <w:u w:val="single"/>
        </w:rPr>
        <w:t xml:space="preserve">. </w:t>
      </w:r>
      <w:r w:rsidR="00411700">
        <w:rPr>
          <w:rFonts w:cs="Times New Roman"/>
          <w:u w:val="single"/>
        </w:rPr>
        <w:t>D</w:t>
      </w:r>
      <w:r w:rsidRPr="00791277">
        <w:rPr>
          <w:rFonts w:cs="Times New Roman"/>
          <w:u w:val="single"/>
        </w:rPr>
        <w:t xml:space="preserve">ersom </w:t>
      </w:r>
      <w:r>
        <w:rPr>
          <w:rFonts w:cs="Times New Roman"/>
          <w:u w:val="single"/>
        </w:rPr>
        <w:t>en pasient behandlet for en ikke-onkologisk indikasjon</w:t>
      </w:r>
      <w:r w:rsidR="00411700">
        <w:rPr>
          <w:rFonts w:cs="Times New Roman"/>
          <w:u w:val="single"/>
        </w:rPr>
        <w:t xml:space="preserve">, blir diagnostisert med </w:t>
      </w:r>
      <w:r w:rsidR="00411700" w:rsidRPr="00791277">
        <w:rPr>
          <w:rFonts w:cs="Times New Roman"/>
          <w:u w:val="single"/>
        </w:rPr>
        <w:t>meningeom</w:t>
      </w:r>
      <w:r w:rsidR="00411700">
        <w:rPr>
          <w:rFonts w:cs="Times New Roman"/>
          <w:u w:val="single"/>
        </w:rPr>
        <w:t xml:space="preserve">, </w:t>
      </w:r>
      <w:r w:rsidR="00EE73F2">
        <w:rPr>
          <w:rFonts w:cs="Times New Roman"/>
          <w:u w:val="single"/>
        </w:rPr>
        <w:t xml:space="preserve">må </w:t>
      </w:r>
      <w:r w:rsidR="00411700" w:rsidRPr="00791277">
        <w:rPr>
          <w:rFonts w:cs="Times New Roman"/>
          <w:u w:val="single"/>
        </w:rPr>
        <w:t xml:space="preserve">behandlingen med medroksyprogesteronacetat </w:t>
      </w:r>
      <w:r w:rsidR="00411700">
        <w:rPr>
          <w:rFonts w:cs="Times New Roman"/>
          <w:u w:val="single"/>
        </w:rPr>
        <w:t>avsluttes, som et forsiktighetstiltak</w:t>
      </w:r>
      <w:r>
        <w:rPr>
          <w:rFonts w:cs="Times New Roman"/>
          <w:u w:val="single"/>
        </w:rPr>
        <w:t>.</w:t>
      </w:r>
      <w:r w:rsidR="00411700">
        <w:rPr>
          <w:rFonts w:cs="Times New Roman"/>
          <w:u w:val="single"/>
        </w:rPr>
        <w:t xml:space="preserve"> </w:t>
      </w:r>
    </w:p>
    <w:p w14:paraId="0DB1CCB2" w14:textId="33AA3252" w:rsidR="00F176F0" w:rsidRDefault="00791277" w:rsidP="00F176F0">
      <w:pPr>
        <w:autoSpaceDE w:val="0"/>
        <w:autoSpaceDN w:val="0"/>
        <w:adjustRightInd w:val="0"/>
        <w:spacing w:line="360" w:lineRule="auto"/>
        <w:rPr>
          <w:rFonts w:ascii="Verdana" w:eastAsia="Verdana" w:hAnsi="Verdana" w:cs="Verdana"/>
          <w:u w:val="single"/>
        </w:rPr>
      </w:pPr>
      <w:r w:rsidRPr="00791277">
        <w:rPr>
          <w:rFonts w:ascii="Verdana" w:eastAsia="Verdana" w:hAnsi="Verdana" w:cs="Verdana"/>
          <w:u w:val="single"/>
        </w:rPr>
        <w:t xml:space="preserve">Hvis en pasient </w:t>
      </w:r>
      <w:r>
        <w:rPr>
          <w:rFonts w:ascii="Verdana" w:eastAsia="Verdana" w:hAnsi="Verdana" w:cs="Verdana"/>
          <w:u w:val="single"/>
        </w:rPr>
        <w:t>behandlet for en onkologisk indikasjon</w:t>
      </w:r>
      <w:r w:rsidRPr="00791277">
        <w:rPr>
          <w:rFonts w:ascii="Verdana" w:eastAsia="Verdana" w:hAnsi="Verdana" w:cs="Verdana"/>
          <w:u w:val="single"/>
        </w:rPr>
        <w:t xml:space="preserve">, </w:t>
      </w:r>
      <w:r w:rsidR="00411700">
        <w:rPr>
          <w:rFonts w:ascii="Verdana" w:eastAsia="Verdana" w:hAnsi="Verdana" w:cs="Verdana"/>
          <w:u w:val="single"/>
        </w:rPr>
        <w:t xml:space="preserve">blir </w:t>
      </w:r>
      <w:r w:rsidR="00411700" w:rsidRPr="00791277">
        <w:rPr>
          <w:rFonts w:ascii="Verdana" w:eastAsia="Verdana" w:hAnsi="Verdana" w:cs="Verdana"/>
          <w:u w:val="single"/>
        </w:rPr>
        <w:t>diagnos</w:t>
      </w:r>
      <w:r w:rsidR="00411700">
        <w:rPr>
          <w:rFonts w:ascii="Verdana" w:eastAsia="Verdana" w:hAnsi="Verdana" w:cs="Verdana"/>
          <w:u w:val="single"/>
        </w:rPr>
        <w:t>tisert</w:t>
      </w:r>
      <w:r w:rsidR="00411700" w:rsidRPr="00791277">
        <w:rPr>
          <w:rFonts w:ascii="Verdana" w:eastAsia="Verdana" w:hAnsi="Verdana" w:cs="Verdana"/>
          <w:u w:val="single"/>
        </w:rPr>
        <w:t xml:space="preserve"> </w:t>
      </w:r>
      <w:r w:rsidR="00411700">
        <w:rPr>
          <w:rFonts w:ascii="Verdana" w:eastAsia="Verdana" w:hAnsi="Verdana" w:cs="Verdana"/>
          <w:u w:val="single"/>
        </w:rPr>
        <w:t xml:space="preserve">med </w:t>
      </w:r>
      <w:r w:rsidR="00411700" w:rsidRPr="00791277">
        <w:rPr>
          <w:rFonts w:ascii="Verdana" w:eastAsia="Verdana" w:hAnsi="Verdana" w:cs="Verdana"/>
          <w:u w:val="single"/>
        </w:rPr>
        <w:t>meningeom</w:t>
      </w:r>
      <w:r w:rsidR="00411700">
        <w:rPr>
          <w:rFonts w:ascii="Verdana" w:eastAsia="Verdana" w:hAnsi="Verdana" w:cs="Verdana"/>
          <w:u w:val="single"/>
        </w:rPr>
        <w:t xml:space="preserve">, </w:t>
      </w:r>
      <w:r w:rsidRPr="00791277">
        <w:rPr>
          <w:rFonts w:ascii="Verdana" w:eastAsia="Verdana" w:hAnsi="Verdana" w:cs="Verdana"/>
          <w:u w:val="single"/>
        </w:rPr>
        <w:t xml:space="preserve">bør behovet for videre behandling med medroksyprogesteronacetat vurderes nøye </w:t>
      </w:r>
      <w:r w:rsidR="00E45845">
        <w:rPr>
          <w:rFonts w:ascii="Verdana" w:eastAsia="Verdana" w:hAnsi="Verdana" w:cs="Verdana"/>
          <w:u w:val="single"/>
        </w:rPr>
        <w:t>i hvert</w:t>
      </w:r>
      <w:r w:rsidRPr="00791277">
        <w:rPr>
          <w:rFonts w:ascii="Verdana" w:eastAsia="Verdana" w:hAnsi="Verdana" w:cs="Verdana"/>
          <w:u w:val="single"/>
        </w:rPr>
        <w:t xml:space="preserve"> </w:t>
      </w:r>
      <w:r w:rsidR="00BA3512">
        <w:rPr>
          <w:rFonts w:ascii="Verdana" w:eastAsia="Verdana" w:hAnsi="Verdana" w:cs="Verdana"/>
          <w:u w:val="single"/>
        </w:rPr>
        <w:t xml:space="preserve">enkelt </w:t>
      </w:r>
      <w:r w:rsidRPr="00791277">
        <w:rPr>
          <w:rFonts w:ascii="Verdana" w:eastAsia="Verdana" w:hAnsi="Verdana" w:cs="Verdana"/>
          <w:u w:val="single"/>
        </w:rPr>
        <w:t>tilfelle</w:t>
      </w:r>
      <w:r w:rsidR="00E45845">
        <w:rPr>
          <w:rFonts w:ascii="Verdana" w:eastAsia="Verdana" w:hAnsi="Verdana" w:cs="Verdana"/>
          <w:u w:val="single"/>
        </w:rPr>
        <w:t xml:space="preserve"> </w:t>
      </w:r>
      <w:r w:rsidR="00BA3512">
        <w:rPr>
          <w:rFonts w:ascii="Verdana" w:eastAsia="Verdana" w:hAnsi="Verdana" w:cs="Verdana"/>
          <w:u w:val="single"/>
        </w:rPr>
        <w:t xml:space="preserve">hvor man tar </w:t>
      </w:r>
      <w:r w:rsidRPr="00791277">
        <w:rPr>
          <w:rFonts w:ascii="Verdana" w:eastAsia="Verdana" w:hAnsi="Verdana" w:cs="Verdana"/>
          <w:u w:val="single"/>
        </w:rPr>
        <w:t>fordeler og risikoer</w:t>
      </w:r>
      <w:r w:rsidR="00E45845">
        <w:rPr>
          <w:rFonts w:ascii="Verdana" w:eastAsia="Verdana" w:hAnsi="Verdana" w:cs="Verdana"/>
          <w:u w:val="single"/>
        </w:rPr>
        <w:t xml:space="preserve"> </w:t>
      </w:r>
      <w:r w:rsidR="00BA3512">
        <w:rPr>
          <w:rFonts w:ascii="Verdana" w:eastAsia="Verdana" w:hAnsi="Verdana" w:cs="Verdana"/>
          <w:u w:val="single"/>
        </w:rPr>
        <w:t>med i vurderingen</w:t>
      </w:r>
      <w:r w:rsidRPr="00791277">
        <w:rPr>
          <w:rFonts w:ascii="Verdana" w:eastAsia="Verdana" w:hAnsi="Verdana" w:cs="Verdana"/>
          <w:u w:val="single"/>
        </w:rPr>
        <w:t>.</w:t>
      </w:r>
    </w:p>
    <w:p w14:paraId="5712701D" w14:textId="77777777" w:rsidR="00791277" w:rsidRPr="00791277" w:rsidRDefault="00791277" w:rsidP="00F176F0">
      <w:pPr>
        <w:autoSpaceDE w:val="0"/>
        <w:autoSpaceDN w:val="0"/>
        <w:adjustRightInd w:val="0"/>
        <w:spacing w:line="360" w:lineRule="auto"/>
        <w:rPr>
          <w:rFonts w:ascii="Verdana" w:hAnsi="Verdana"/>
          <w:bCs/>
        </w:rPr>
      </w:pPr>
    </w:p>
    <w:p w14:paraId="0DB1CCB3" w14:textId="302E854C" w:rsidR="00F176F0" w:rsidRPr="00F176F0" w:rsidRDefault="009829D4" w:rsidP="00F176F0">
      <w:pPr>
        <w:autoSpaceDE w:val="0"/>
        <w:autoSpaceDN w:val="0"/>
        <w:adjustRightInd w:val="0"/>
        <w:spacing w:line="360" w:lineRule="auto"/>
        <w:rPr>
          <w:rFonts w:ascii="Verdana" w:hAnsi="Verdana"/>
          <w:bCs/>
        </w:rPr>
      </w:pPr>
      <w:r w:rsidRPr="00F176F0">
        <w:rPr>
          <w:rFonts w:ascii="Verdana" w:hAnsi="Verdana"/>
          <w:bCs/>
        </w:rPr>
        <w:t xml:space="preserve">4.8 </w:t>
      </w:r>
      <w:r w:rsidR="00791277">
        <w:rPr>
          <w:rFonts w:ascii="Verdana" w:hAnsi="Verdana"/>
          <w:bCs/>
        </w:rPr>
        <w:t xml:space="preserve">Bivirkninger </w:t>
      </w:r>
    </w:p>
    <w:p w14:paraId="1015476B" w14:textId="79386490" w:rsidR="009349AA" w:rsidRPr="00DE4C8A" w:rsidRDefault="009349AA" w:rsidP="009349AA">
      <w:pPr>
        <w:pStyle w:val="BodytextAgency"/>
        <w:rPr>
          <w:b/>
          <w:bCs/>
        </w:rPr>
      </w:pPr>
      <w:r w:rsidRPr="00DE4C8A">
        <w:rPr>
          <w:b/>
          <w:bCs/>
        </w:rPr>
        <w:t xml:space="preserve">MPA-inneholdende produkter </w:t>
      </w:r>
      <w:r w:rsidR="0094767E">
        <w:rPr>
          <w:b/>
          <w:bCs/>
        </w:rPr>
        <w:t>med</w:t>
      </w:r>
      <w:r>
        <w:rPr>
          <w:b/>
          <w:bCs/>
        </w:rPr>
        <w:t xml:space="preserve"> </w:t>
      </w:r>
      <w:r w:rsidRPr="00DE4C8A">
        <w:rPr>
          <w:b/>
          <w:bCs/>
        </w:rPr>
        <w:t xml:space="preserve">alle </w:t>
      </w:r>
      <w:r>
        <w:rPr>
          <w:b/>
          <w:bCs/>
        </w:rPr>
        <w:t xml:space="preserve">parenterale </w:t>
      </w:r>
      <w:r w:rsidRPr="00DE4C8A">
        <w:rPr>
          <w:b/>
          <w:bCs/>
        </w:rPr>
        <w:t>formul</w:t>
      </w:r>
      <w:r>
        <w:rPr>
          <w:b/>
          <w:bCs/>
        </w:rPr>
        <w:t>eringer</w:t>
      </w:r>
      <w:r w:rsidRPr="00DE4C8A">
        <w:rPr>
          <w:b/>
          <w:bCs/>
        </w:rPr>
        <w:t xml:space="preserve"> </w:t>
      </w:r>
      <w:r>
        <w:rPr>
          <w:b/>
          <w:bCs/>
        </w:rPr>
        <w:t>og</w:t>
      </w:r>
      <w:r w:rsidRPr="00DE4C8A">
        <w:rPr>
          <w:b/>
          <w:bCs/>
        </w:rPr>
        <w:t xml:space="preserve"> ≥</w:t>
      </w:r>
      <w:r>
        <w:rPr>
          <w:b/>
          <w:bCs/>
        </w:rPr>
        <w:t xml:space="preserve"> </w:t>
      </w:r>
      <w:r w:rsidRPr="00DE4C8A">
        <w:rPr>
          <w:b/>
          <w:bCs/>
        </w:rPr>
        <w:t>100 mg oral</w:t>
      </w:r>
      <w:r>
        <w:rPr>
          <w:b/>
          <w:bCs/>
        </w:rPr>
        <w:t>e</w:t>
      </w:r>
      <w:r w:rsidRPr="00DE4C8A">
        <w:rPr>
          <w:b/>
          <w:bCs/>
        </w:rPr>
        <w:t xml:space="preserve"> formul</w:t>
      </w:r>
      <w:r>
        <w:rPr>
          <w:b/>
          <w:bCs/>
        </w:rPr>
        <w:t>eringer</w:t>
      </w:r>
      <w:r w:rsidRPr="00DE4C8A">
        <w:rPr>
          <w:b/>
          <w:bCs/>
        </w:rPr>
        <w:t>:</w:t>
      </w:r>
    </w:p>
    <w:p w14:paraId="0DB1CCB5" w14:textId="3E659BDA" w:rsidR="00F176F0" w:rsidRPr="009349AA" w:rsidRDefault="009829D4" w:rsidP="00F176F0">
      <w:pPr>
        <w:pStyle w:val="BodytextAgency"/>
        <w:rPr>
          <w:iCs/>
          <w:u w:val="single"/>
        </w:rPr>
      </w:pPr>
      <w:r w:rsidRPr="009349AA">
        <w:rPr>
          <w:iCs/>
          <w:u w:val="single"/>
        </w:rPr>
        <w:t>SO</w:t>
      </w:r>
      <w:r w:rsidR="009349AA" w:rsidRPr="009349AA">
        <w:rPr>
          <w:iCs/>
          <w:u w:val="single"/>
        </w:rPr>
        <w:t>K</w:t>
      </w:r>
      <w:r w:rsidRPr="009349AA">
        <w:rPr>
          <w:iCs/>
          <w:u w:val="single"/>
        </w:rPr>
        <w:t xml:space="preserve"> </w:t>
      </w:r>
      <w:r w:rsidR="009349AA" w:rsidRPr="009349AA">
        <w:rPr>
          <w:iCs/>
          <w:u w:val="single"/>
        </w:rPr>
        <w:t>Godartede, ondartede og uspesifiserte svulster</w:t>
      </w:r>
      <w:r w:rsidRPr="009349AA">
        <w:rPr>
          <w:iCs/>
          <w:u w:val="single"/>
        </w:rPr>
        <w:t>, fre</w:t>
      </w:r>
      <w:r w:rsidR="009349AA">
        <w:rPr>
          <w:iCs/>
          <w:u w:val="single"/>
        </w:rPr>
        <w:t>kvens</w:t>
      </w:r>
      <w:r w:rsidRPr="009349AA">
        <w:rPr>
          <w:iCs/>
          <w:u w:val="single"/>
        </w:rPr>
        <w:t xml:space="preserve"> “</w:t>
      </w:r>
      <w:r w:rsidR="009349AA">
        <w:rPr>
          <w:iCs/>
          <w:u w:val="single"/>
        </w:rPr>
        <w:t>ikke kjent</w:t>
      </w:r>
      <w:r w:rsidRPr="009349AA">
        <w:rPr>
          <w:iCs/>
          <w:u w:val="single"/>
        </w:rPr>
        <w:t>”.</w:t>
      </w:r>
    </w:p>
    <w:p w14:paraId="0DB1CCB6" w14:textId="06174472" w:rsidR="00F176F0" w:rsidRPr="00F176F0" w:rsidRDefault="009829D4" w:rsidP="00F176F0">
      <w:pPr>
        <w:pStyle w:val="BodytextAgency"/>
      </w:pPr>
      <w:r w:rsidRPr="009349AA">
        <w:br/>
      </w:r>
      <w:r w:rsidRPr="00F176F0">
        <w:t xml:space="preserve">5.1 </w:t>
      </w:r>
      <w:r w:rsidR="00BE245F">
        <w:t>F</w:t>
      </w:r>
      <w:r w:rsidRPr="00F176F0">
        <w:t>arma</w:t>
      </w:r>
      <w:r w:rsidR="009349AA">
        <w:t>kodynamiske egenskaper</w:t>
      </w:r>
    </w:p>
    <w:p w14:paraId="524D8A57" w14:textId="280F2529" w:rsidR="009349AA" w:rsidRPr="00DE4C8A" w:rsidRDefault="009349AA" w:rsidP="009349AA">
      <w:pPr>
        <w:pStyle w:val="BodytextAgency"/>
        <w:rPr>
          <w:b/>
          <w:bCs/>
        </w:rPr>
      </w:pPr>
      <w:r w:rsidRPr="00DE4C8A">
        <w:rPr>
          <w:b/>
          <w:bCs/>
        </w:rPr>
        <w:t xml:space="preserve">MPA-inneholdende produkter </w:t>
      </w:r>
      <w:r w:rsidR="0094767E">
        <w:rPr>
          <w:b/>
          <w:bCs/>
        </w:rPr>
        <w:t>med</w:t>
      </w:r>
      <w:r>
        <w:rPr>
          <w:b/>
          <w:bCs/>
        </w:rPr>
        <w:t xml:space="preserve"> </w:t>
      </w:r>
      <w:r w:rsidRPr="00DE4C8A">
        <w:rPr>
          <w:b/>
          <w:bCs/>
        </w:rPr>
        <w:t xml:space="preserve">alle </w:t>
      </w:r>
      <w:r>
        <w:rPr>
          <w:b/>
          <w:bCs/>
        </w:rPr>
        <w:t xml:space="preserve">parenterale </w:t>
      </w:r>
      <w:r w:rsidRPr="00DE4C8A">
        <w:rPr>
          <w:b/>
          <w:bCs/>
        </w:rPr>
        <w:t>formul</w:t>
      </w:r>
      <w:r>
        <w:rPr>
          <w:b/>
          <w:bCs/>
        </w:rPr>
        <w:t>eringer</w:t>
      </w:r>
      <w:r w:rsidRPr="00DE4C8A">
        <w:rPr>
          <w:b/>
          <w:bCs/>
        </w:rPr>
        <w:t xml:space="preserve"> </w:t>
      </w:r>
      <w:r>
        <w:rPr>
          <w:b/>
          <w:bCs/>
        </w:rPr>
        <w:t>og</w:t>
      </w:r>
      <w:r w:rsidRPr="00DE4C8A">
        <w:rPr>
          <w:b/>
          <w:bCs/>
        </w:rPr>
        <w:t xml:space="preserve"> ≥</w:t>
      </w:r>
      <w:r>
        <w:rPr>
          <w:b/>
          <w:bCs/>
        </w:rPr>
        <w:t xml:space="preserve"> </w:t>
      </w:r>
      <w:r w:rsidRPr="00DE4C8A">
        <w:rPr>
          <w:b/>
          <w:bCs/>
        </w:rPr>
        <w:t>100 mg oral</w:t>
      </w:r>
      <w:r>
        <w:rPr>
          <w:b/>
          <w:bCs/>
        </w:rPr>
        <w:t>e</w:t>
      </w:r>
      <w:r w:rsidRPr="00DE4C8A">
        <w:rPr>
          <w:b/>
          <w:bCs/>
        </w:rPr>
        <w:t xml:space="preserve"> formul</w:t>
      </w:r>
      <w:r>
        <w:rPr>
          <w:b/>
          <w:bCs/>
        </w:rPr>
        <w:t>eringer</w:t>
      </w:r>
      <w:r w:rsidRPr="00DE4C8A">
        <w:rPr>
          <w:b/>
          <w:bCs/>
        </w:rPr>
        <w:t>:</w:t>
      </w:r>
    </w:p>
    <w:p w14:paraId="0DB1CCB9" w14:textId="1CC8CB0B" w:rsidR="00F176F0" w:rsidRDefault="00B9253D" w:rsidP="00F176F0">
      <w:pPr>
        <w:autoSpaceDE w:val="0"/>
        <w:autoSpaceDN w:val="0"/>
        <w:adjustRightInd w:val="0"/>
        <w:spacing w:line="276" w:lineRule="auto"/>
        <w:rPr>
          <w:rFonts w:ascii="Verdana" w:eastAsia="Verdana" w:hAnsi="Verdana" w:cs="Verdana"/>
          <w:iCs/>
          <w:u w:val="single"/>
        </w:rPr>
      </w:pPr>
      <w:r w:rsidRPr="00B9253D">
        <w:rPr>
          <w:rFonts w:ascii="Verdana" w:eastAsia="Verdana" w:hAnsi="Verdana" w:cs="Verdana"/>
          <w:iCs/>
          <w:u w:val="single"/>
        </w:rPr>
        <w:lastRenderedPageBreak/>
        <w:t>Basert på resultater fra en fransk epidemiologisk kasus-kontrollstudie, er det observert en sammenheng mellom medroksyprogesteronacetat og meningeom. Denne studien var basert på data fra det franske nasjonale helsedatasystemet (SNDS – Système National des Données de Santé) og inkluderte en populasjon på 18 061 kvinner som hadde gjennomgått intrakraniell kirurgi for meningeom og 90 305 kvinner uten meningeom. Eksponeringen for medroksyprogesteronacetat 150</w:t>
      </w:r>
      <w:r>
        <w:rPr>
          <w:rFonts w:ascii="Verdana" w:eastAsia="Verdana" w:hAnsi="Verdana" w:cs="Verdana"/>
          <w:iCs/>
          <w:u w:val="single"/>
        </w:rPr>
        <w:t> </w:t>
      </w:r>
      <w:r w:rsidRPr="00B9253D">
        <w:rPr>
          <w:rFonts w:ascii="Verdana" w:eastAsia="Verdana" w:hAnsi="Verdana" w:cs="Verdana"/>
          <w:iCs/>
          <w:u w:val="single"/>
        </w:rPr>
        <w:t xml:space="preserve">mg/3 ml </w:t>
      </w:r>
      <w:r>
        <w:rPr>
          <w:rFonts w:ascii="Verdana" w:eastAsia="Verdana" w:hAnsi="Verdana" w:cs="Verdana"/>
          <w:iCs/>
          <w:u w:val="single"/>
        </w:rPr>
        <w:t>parenteralt</w:t>
      </w:r>
      <w:r w:rsidRPr="00B9253D">
        <w:rPr>
          <w:rFonts w:ascii="Verdana" w:eastAsia="Verdana" w:hAnsi="Verdana" w:cs="Verdana"/>
          <w:iCs/>
          <w:u w:val="single"/>
        </w:rPr>
        <w:t xml:space="preserve"> ble sammenlignet mellom kvinner som hadde gjennomgått intrakraniell kirurgi for meningeom og kvinner uten meningeom. Analysene viste en økt risiko for meningeom ved bruk av medroksyprogesteronacetat 150 mg/3 ml (9/18 061 (0,05 %) vs. 11/90 305 (0,01 %), </w:t>
      </w:r>
      <w:r w:rsidRPr="00857982">
        <w:rPr>
          <w:rFonts w:ascii="Verdana" w:eastAsia="Verdana" w:hAnsi="Verdana" w:cs="Verdana"/>
          <w:iCs/>
          <w:u w:val="single"/>
        </w:rPr>
        <w:t>OR</w:t>
      </w:r>
      <w:r w:rsidRPr="00B9253D">
        <w:rPr>
          <w:rFonts w:ascii="Verdana" w:eastAsia="Verdana" w:hAnsi="Verdana" w:cs="Verdana"/>
          <w:iCs/>
          <w:u w:val="single"/>
        </w:rPr>
        <w:t xml:space="preserve"> 5,55 (95 % </w:t>
      </w:r>
      <w:r>
        <w:rPr>
          <w:rFonts w:ascii="Verdana" w:eastAsia="Verdana" w:hAnsi="Verdana" w:cs="Verdana"/>
          <w:iCs/>
          <w:u w:val="single"/>
        </w:rPr>
        <w:t>K</w:t>
      </w:r>
      <w:r w:rsidRPr="00B9253D">
        <w:rPr>
          <w:rFonts w:ascii="Verdana" w:eastAsia="Verdana" w:hAnsi="Verdana" w:cs="Verdana"/>
          <w:iCs/>
          <w:u w:val="single"/>
        </w:rPr>
        <w:t>I 2,27 til 13,56). Denne økte risikoen ser ut til å være drevet hovedsakelig av langvarig bruk (≥</w:t>
      </w:r>
      <w:r w:rsidR="00857982">
        <w:rPr>
          <w:rFonts w:ascii="Verdana" w:eastAsia="Verdana" w:hAnsi="Verdana" w:cs="Verdana"/>
          <w:iCs/>
          <w:u w:val="single"/>
        </w:rPr>
        <w:t xml:space="preserve"> </w:t>
      </w:r>
      <w:r w:rsidRPr="00B9253D">
        <w:rPr>
          <w:rFonts w:ascii="Verdana" w:eastAsia="Verdana" w:hAnsi="Verdana" w:cs="Verdana"/>
          <w:iCs/>
          <w:u w:val="single"/>
        </w:rPr>
        <w:t>3 år) av medroksyprogesteronacetat.</w:t>
      </w:r>
    </w:p>
    <w:p w14:paraId="0EC079B8" w14:textId="77777777" w:rsidR="00B9253D" w:rsidRPr="00F176F0" w:rsidRDefault="00B9253D" w:rsidP="00F176F0">
      <w:pPr>
        <w:autoSpaceDE w:val="0"/>
        <w:autoSpaceDN w:val="0"/>
        <w:adjustRightInd w:val="0"/>
        <w:spacing w:line="276" w:lineRule="auto"/>
        <w:rPr>
          <w:rFonts w:ascii="Verdana" w:hAnsi="Verdana"/>
          <w:bCs/>
          <w:iCs/>
          <w:u w:val="single"/>
        </w:rPr>
      </w:pPr>
    </w:p>
    <w:p w14:paraId="0DB1CCBA" w14:textId="05AF25B6" w:rsidR="00F176F0" w:rsidRPr="00F176F0" w:rsidRDefault="009829D4" w:rsidP="00F176F0">
      <w:pPr>
        <w:pStyle w:val="BodytextAgency"/>
        <w:rPr>
          <w:b/>
          <w:bCs/>
          <w:iCs/>
          <w:u w:val="single"/>
        </w:rPr>
      </w:pPr>
      <w:r w:rsidRPr="00F176F0">
        <w:rPr>
          <w:b/>
          <w:bCs/>
        </w:rPr>
        <w:t>Pa</w:t>
      </w:r>
      <w:r w:rsidR="00EF30C7">
        <w:rPr>
          <w:b/>
          <w:bCs/>
        </w:rPr>
        <w:t xml:space="preserve">kningsvedlegg </w:t>
      </w:r>
    </w:p>
    <w:p w14:paraId="0DB1CCBB" w14:textId="27BCE518" w:rsidR="00F176F0" w:rsidRPr="00F176F0" w:rsidRDefault="009829D4" w:rsidP="00F176F0">
      <w:pPr>
        <w:pStyle w:val="BodytextAgency"/>
      </w:pPr>
      <w:r w:rsidRPr="00F176F0">
        <w:t xml:space="preserve">2. </w:t>
      </w:r>
      <w:r w:rsidR="00EF30C7">
        <w:t>Hva du må vite før du tar</w:t>
      </w:r>
      <w:r w:rsidRPr="00F176F0">
        <w:t xml:space="preserve"> &lt;</w:t>
      </w:r>
      <w:r w:rsidR="007E6084">
        <w:t>P</w:t>
      </w:r>
      <w:r w:rsidR="00EF30C7">
        <w:t>roduktnavn</w:t>
      </w:r>
      <w:r w:rsidRPr="00F176F0">
        <w:t xml:space="preserve">&gt; </w:t>
      </w:r>
    </w:p>
    <w:p w14:paraId="696C3F12" w14:textId="2DA545A7" w:rsidR="00EF30C7" w:rsidRPr="00DE4C8A" w:rsidRDefault="00EF30C7" w:rsidP="00EF30C7">
      <w:pPr>
        <w:pStyle w:val="BodytextAgency"/>
        <w:rPr>
          <w:b/>
          <w:bCs/>
        </w:rPr>
      </w:pPr>
      <w:r w:rsidRPr="00DE4C8A">
        <w:rPr>
          <w:b/>
          <w:bCs/>
        </w:rPr>
        <w:t xml:space="preserve">MPA-inneholdende produkter </w:t>
      </w:r>
      <w:r>
        <w:rPr>
          <w:b/>
          <w:bCs/>
        </w:rPr>
        <w:t>med ikke-onkologiske indikasjoner (</w:t>
      </w:r>
      <w:r w:rsidRPr="00DE4C8A">
        <w:rPr>
          <w:b/>
          <w:bCs/>
        </w:rPr>
        <w:t xml:space="preserve">alle </w:t>
      </w:r>
      <w:r>
        <w:rPr>
          <w:b/>
          <w:bCs/>
        </w:rPr>
        <w:t xml:space="preserve">parenterale </w:t>
      </w:r>
      <w:r w:rsidRPr="00DE4C8A">
        <w:rPr>
          <w:b/>
          <w:bCs/>
        </w:rPr>
        <w:t>formul</w:t>
      </w:r>
      <w:r>
        <w:rPr>
          <w:b/>
          <w:bCs/>
        </w:rPr>
        <w:t>eringer</w:t>
      </w:r>
      <w:r w:rsidRPr="00DE4C8A">
        <w:rPr>
          <w:b/>
          <w:bCs/>
        </w:rPr>
        <w:t xml:space="preserve"> </w:t>
      </w:r>
      <w:r>
        <w:rPr>
          <w:b/>
          <w:bCs/>
        </w:rPr>
        <w:t>og</w:t>
      </w:r>
      <w:r w:rsidRPr="00DE4C8A">
        <w:rPr>
          <w:b/>
          <w:bCs/>
        </w:rPr>
        <w:t xml:space="preserve"> ≥</w:t>
      </w:r>
      <w:r>
        <w:rPr>
          <w:b/>
          <w:bCs/>
        </w:rPr>
        <w:t xml:space="preserve"> </w:t>
      </w:r>
      <w:r w:rsidRPr="00DE4C8A">
        <w:rPr>
          <w:b/>
          <w:bCs/>
        </w:rPr>
        <w:t>100 mg oral</w:t>
      </w:r>
      <w:r>
        <w:rPr>
          <w:b/>
          <w:bCs/>
        </w:rPr>
        <w:t>e</w:t>
      </w:r>
      <w:r w:rsidRPr="00DE4C8A">
        <w:rPr>
          <w:b/>
          <w:bCs/>
        </w:rPr>
        <w:t xml:space="preserve"> formul</w:t>
      </w:r>
      <w:r>
        <w:rPr>
          <w:b/>
          <w:bCs/>
        </w:rPr>
        <w:t>eringer)</w:t>
      </w:r>
      <w:r w:rsidRPr="00DE4C8A">
        <w:rPr>
          <w:b/>
          <w:bCs/>
        </w:rPr>
        <w:t>:</w:t>
      </w:r>
    </w:p>
    <w:p w14:paraId="0DB1CCBD" w14:textId="753E0D36" w:rsidR="00F176F0" w:rsidRPr="006B6804" w:rsidRDefault="00E61E48" w:rsidP="00F176F0">
      <w:pPr>
        <w:pStyle w:val="BodytextAgency"/>
      </w:pPr>
      <w:r>
        <w:t>B</w:t>
      </w:r>
      <w:r w:rsidR="00EF30C7" w:rsidRPr="006B6804">
        <w:t>ruk</w:t>
      </w:r>
      <w:r w:rsidR="009829D4" w:rsidRPr="006B6804">
        <w:t xml:space="preserve"> </w:t>
      </w:r>
      <w:r>
        <w:t xml:space="preserve">ikke </w:t>
      </w:r>
      <w:r w:rsidR="009829D4" w:rsidRPr="006B6804">
        <w:t>&lt;</w:t>
      </w:r>
      <w:r w:rsidR="007E6084">
        <w:t>P</w:t>
      </w:r>
      <w:r w:rsidR="009829D4" w:rsidRPr="006B6804">
        <w:t>rodu</w:t>
      </w:r>
      <w:r w:rsidR="00EF30C7" w:rsidRPr="006B6804">
        <w:t>ktnavn</w:t>
      </w:r>
      <w:r w:rsidR="009829D4" w:rsidRPr="006B6804">
        <w:t>&gt;</w:t>
      </w:r>
    </w:p>
    <w:p w14:paraId="5A23388D" w14:textId="64D119AF" w:rsidR="006B6804" w:rsidRDefault="006B6804" w:rsidP="00F176F0">
      <w:pPr>
        <w:pStyle w:val="BodytextAgency"/>
        <w:rPr>
          <w:u w:val="single"/>
        </w:rPr>
      </w:pPr>
      <w:r w:rsidRPr="006B6804">
        <w:rPr>
          <w:u w:val="single"/>
        </w:rPr>
        <w:t xml:space="preserve">Hvis du har meningeom eller noen gang har fått diagnosen meningeom (vanligvis </w:t>
      </w:r>
      <w:r>
        <w:rPr>
          <w:u w:val="single"/>
        </w:rPr>
        <w:t xml:space="preserve">en </w:t>
      </w:r>
      <w:r w:rsidRPr="006B6804">
        <w:rPr>
          <w:u w:val="single"/>
        </w:rPr>
        <w:t>godartet svulst i vevslaget som omgir hjernen og ryggmargen).</w:t>
      </w:r>
    </w:p>
    <w:p w14:paraId="0DB1CCBF" w14:textId="105532F6" w:rsidR="00F176F0" w:rsidRPr="006B6804" w:rsidRDefault="006B6804" w:rsidP="00F176F0">
      <w:pPr>
        <w:pStyle w:val="BodytextAgency"/>
      </w:pPr>
      <w:r w:rsidRPr="006B6804">
        <w:t xml:space="preserve">Informer legen din </w:t>
      </w:r>
      <w:r>
        <w:t>d</w:t>
      </w:r>
      <w:r w:rsidRPr="006B6804">
        <w:t xml:space="preserve">ersom noen av </w:t>
      </w:r>
      <w:r w:rsidR="00162A71">
        <w:t xml:space="preserve">de </w:t>
      </w:r>
      <w:r w:rsidRPr="006B6804">
        <w:t xml:space="preserve">følgende tilstander gjelder deg. </w:t>
      </w:r>
    </w:p>
    <w:p w14:paraId="0DB1CCC0" w14:textId="1236D7CD" w:rsidR="00F176F0" w:rsidRPr="00F176F0" w:rsidRDefault="00DB1A8C" w:rsidP="00F176F0">
      <w:pPr>
        <w:pStyle w:val="BodytextAgency"/>
        <w:rPr>
          <w:bCs/>
        </w:rPr>
      </w:pPr>
      <w:r w:rsidRPr="006B6804">
        <w:rPr>
          <w:bCs/>
        </w:rPr>
        <w:br/>
      </w:r>
      <w:r w:rsidR="006B6804">
        <w:rPr>
          <w:bCs/>
        </w:rPr>
        <w:t>Underavsnitt</w:t>
      </w:r>
      <w:r w:rsidR="006B6804" w:rsidRPr="00F176F0">
        <w:rPr>
          <w:bCs/>
        </w:rPr>
        <w:t xml:space="preserve"> “</w:t>
      </w:r>
      <w:r w:rsidR="006B6804">
        <w:rPr>
          <w:bCs/>
        </w:rPr>
        <w:t>Advarsler og forsiktighetsregler</w:t>
      </w:r>
      <w:r w:rsidR="006B6804" w:rsidRPr="00F176F0">
        <w:rPr>
          <w:bCs/>
        </w:rPr>
        <w:t>”</w:t>
      </w:r>
    </w:p>
    <w:p w14:paraId="0DB1CCC1" w14:textId="4FDD7447" w:rsidR="00F176F0" w:rsidRPr="00F176F0" w:rsidRDefault="00B9253D" w:rsidP="00F176F0">
      <w:pPr>
        <w:pStyle w:val="BodytextAgency"/>
        <w:rPr>
          <w:u w:val="single"/>
        </w:rPr>
      </w:pPr>
      <w:r w:rsidRPr="00F176F0">
        <w:rPr>
          <w:u w:val="single"/>
        </w:rPr>
        <w:t>Meningeom</w:t>
      </w:r>
    </w:p>
    <w:p w14:paraId="648C8C1B" w14:textId="7714D02A" w:rsidR="006B6804" w:rsidRPr="006B6804" w:rsidRDefault="006B6804" w:rsidP="006B6804">
      <w:pPr>
        <w:pStyle w:val="BodytextAgency"/>
        <w:rPr>
          <w:u w:val="single"/>
        </w:rPr>
      </w:pPr>
      <w:r w:rsidRPr="006B6804">
        <w:rPr>
          <w:u w:val="single"/>
        </w:rPr>
        <w:t xml:space="preserve">Bruk av medroksyprogesteronacetat har vært knyttet til utviklingen av </w:t>
      </w:r>
      <w:r w:rsidR="00825C24">
        <w:rPr>
          <w:u w:val="single"/>
        </w:rPr>
        <w:t xml:space="preserve">en </w:t>
      </w:r>
      <w:r w:rsidRPr="006B6804">
        <w:rPr>
          <w:u w:val="single"/>
        </w:rPr>
        <w:t xml:space="preserve">vanligvis godartet svulst i vevet som omgir hjernen og ryggmargen (meningeom). Risikoen øker spesielt </w:t>
      </w:r>
      <w:r w:rsidR="00825C24">
        <w:rPr>
          <w:u w:val="single"/>
        </w:rPr>
        <w:t>dersom du bruker det over lang tid</w:t>
      </w:r>
      <w:r w:rsidRPr="006B6804">
        <w:rPr>
          <w:u w:val="single"/>
        </w:rPr>
        <w:t xml:space="preserve"> (flere år). Hvis du får diagnosen meningeom, vil legen din stoppe </w:t>
      </w:r>
      <w:r w:rsidRPr="00E61E48">
        <w:rPr>
          <w:u w:val="single"/>
        </w:rPr>
        <w:t>behandling</w:t>
      </w:r>
      <w:r w:rsidR="00825C24">
        <w:rPr>
          <w:u w:val="single"/>
        </w:rPr>
        <w:t>en din</w:t>
      </w:r>
      <w:r w:rsidRPr="006B6804">
        <w:rPr>
          <w:u w:val="single"/>
        </w:rPr>
        <w:t xml:space="preserve"> med &lt;</w:t>
      </w:r>
      <w:r w:rsidR="007E6084">
        <w:rPr>
          <w:u w:val="single"/>
        </w:rPr>
        <w:t>P</w:t>
      </w:r>
      <w:r w:rsidRPr="006B6804">
        <w:rPr>
          <w:u w:val="single"/>
        </w:rPr>
        <w:t>roduktnavn&gt; (se avsnittet ‘</w:t>
      </w:r>
      <w:r w:rsidR="00E61E48">
        <w:rPr>
          <w:u w:val="single"/>
        </w:rPr>
        <w:t>B</w:t>
      </w:r>
      <w:r w:rsidRPr="00E61E48">
        <w:rPr>
          <w:u w:val="single"/>
        </w:rPr>
        <w:t>ruk</w:t>
      </w:r>
      <w:r w:rsidR="00E61E48">
        <w:rPr>
          <w:u w:val="single"/>
        </w:rPr>
        <w:t xml:space="preserve"> ikke</w:t>
      </w:r>
      <w:r w:rsidRPr="00E61E48">
        <w:rPr>
          <w:u w:val="single"/>
        </w:rPr>
        <w:t>…’</w:t>
      </w:r>
      <w:r w:rsidRPr="006B6804">
        <w:rPr>
          <w:u w:val="single"/>
        </w:rPr>
        <w:t xml:space="preserve">). Hvis du merker noen symptomer som endringer i synet (f.eks. dobbeltsyn eller uklart syn), hørselstap eller ringing i ørene, tap av luktesans, hodepine som forverres over tid, hukommelsestap, </w:t>
      </w:r>
      <w:r w:rsidR="003830A3">
        <w:rPr>
          <w:u w:val="single"/>
        </w:rPr>
        <w:t>krampe</w:t>
      </w:r>
      <w:r w:rsidRPr="006B6804">
        <w:rPr>
          <w:u w:val="single"/>
        </w:rPr>
        <w:t>anfall</w:t>
      </w:r>
      <w:r>
        <w:rPr>
          <w:u w:val="single"/>
        </w:rPr>
        <w:t xml:space="preserve">, </w:t>
      </w:r>
      <w:r w:rsidRPr="006B6804">
        <w:rPr>
          <w:u w:val="single"/>
        </w:rPr>
        <w:t>svakhet i armer eller bein, må du</w:t>
      </w:r>
      <w:r>
        <w:rPr>
          <w:u w:val="single"/>
        </w:rPr>
        <w:t xml:space="preserve"> umiddelbart</w:t>
      </w:r>
      <w:r w:rsidRPr="006B6804">
        <w:rPr>
          <w:u w:val="single"/>
        </w:rPr>
        <w:t xml:space="preserve"> informere legen din.</w:t>
      </w:r>
    </w:p>
    <w:p w14:paraId="0DB1CCC4" w14:textId="517C90B4" w:rsidR="00F176F0" w:rsidRPr="00F176F0" w:rsidRDefault="00A134C7" w:rsidP="00F176F0">
      <w:pPr>
        <w:pStyle w:val="BodytextAgency"/>
        <w:rPr>
          <w:b/>
          <w:bCs/>
        </w:rPr>
      </w:pPr>
      <w:r>
        <w:rPr>
          <w:b/>
          <w:bCs/>
        </w:rPr>
        <w:br/>
      </w:r>
      <w:r w:rsidR="006B6804" w:rsidRPr="00DE4C8A">
        <w:rPr>
          <w:b/>
          <w:bCs/>
        </w:rPr>
        <w:t xml:space="preserve">MPA-inneholdende produkter </w:t>
      </w:r>
      <w:r w:rsidR="006B6804">
        <w:rPr>
          <w:b/>
          <w:bCs/>
        </w:rPr>
        <w:t>med onkologiske indikasjoner (</w:t>
      </w:r>
      <w:r w:rsidR="006B6804" w:rsidRPr="00DE4C8A">
        <w:rPr>
          <w:b/>
          <w:bCs/>
        </w:rPr>
        <w:t xml:space="preserve">alle </w:t>
      </w:r>
      <w:r w:rsidR="006B6804">
        <w:rPr>
          <w:b/>
          <w:bCs/>
        </w:rPr>
        <w:t xml:space="preserve">parenterale </w:t>
      </w:r>
      <w:r w:rsidR="006B6804" w:rsidRPr="00DE4C8A">
        <w:rPr>
          <w:b/>
          <w:bCs/>
        </w:rPr>
        <w:t>formul</w:t>
      </w:r>
      <w:r w:rsidR="006B6804">
        <w:rPr>
          <w:b/>
          <w:bCs/>
        </w:rPr>
        <w:t>eringer</w:t>
      </w:r>
      <w:r w:rsidR="006B6804" w:rsidRPr="00DE4C8A">
        <w:rPr>
          <w:b/>
          <w:bCs/>
        </w:rPr>
        <w:t xml:space="preserve"> </w:t>
      </w:r>
      <w:r w:rsidR="006B6804">
        <w:rPr>
          <w:b/>
          <w:bCs/>
        </w:rPr>
        <w:t>og</w:t>
      </w:r>
      <w:r w:rsidR="006B6804" w:rsidRPr="00DE4C8A">
        <w:rPr>
          <w:b/>
          <w:bCs/>
        </w:rPr>
        <w:t xml:space="preserve"> ≥</w:t>
      </w:r>
      <w:r w:rsidR="006B6804">
        <w:rPr>
          <w:b/>
          <w:bCs/>
        </w:rPr>
        <w:t xml:space="preserve"> </w:t>
      </w:r>
      <w:r w:rsidR="006B6804" w:rsidRPr="00DE4C8A">
        <w:rPr>
          <w:b/>
          <w:bCs/>
        </w:rPr>
        <w:t>100 mg oral</w:t>
      </w:r>
      <w:r w:rsidR="006B6804">
        <w:rPr>
          <w:b/>
          <w:bCs/>
        </w:rPr>
        <w:t>e</w:t>
      </w:r>
      <w:r w:rsidR="006B6804" w:rsidRPr="00DE4C8A">
        <w:rPr>
          <w:b/>
          <w:bCs/>
        </w:rPr>
        <w:t xml:space="preserve"> formul</w:t>
      </w:r>
      <w:r w:rsidR="006B6804">
        <w:rPr>
          <w:b/>
          <w:bCs/>
        </w:rPr>
        <w:t>eringer)</w:t>
      </w:r>
      <w:r w:rsidR="006B6804" w:rsidRPr="00DE4C8A">
        <w:rPr>
          <w:b/>
          <w:bCs/>
        </w:rPr>
        <w:t>:</w:t>
      </w:r>
    </w:p>
    <w:p w14:paraId="3481D8A8" w14:textId="77777777" w:rsidR="006B6804" w:rsidRDefault="006B6804" w:rsidP="00F176F0">
      <w:pPr>
        <w:pStyle w:val="BodytextAgency"/>
        <w:rPr>
          <w:bCs/>
        </w:rPr>
      </w:pPr>
      <w:r>
        <w:rPr>
          <w:bCs/>
        </w:rPr>
        <w:t>Underavsnitt</w:t>
      </w:r>
      <w:r w:rsidRPr="00F176F0">
        <w:rPr>
          <w:bCs/>
        </w:rPr>
        <w:t xml:space="preserve"> “</w:t>
      </w:r>
      <w:r>
        <w:rPr>
          <w:bCs/>
        </w:rPr>
        <w:t>Advarsler og forsiktighetsregler</w:t>
      </w:r>
      <w:r w:rsidRPr="00F176F0">
        <w:rPr>
          <w:bCs/>
        </w:rPr>
        <w:t>”</w:t>
      </w:r>
    </w:p>
    <w:p w14:paraId="0DB1CCC6" w14:textId="65F26C21" w:rsidR="00F176F0" w:rsidRPr="00F176F0" w:rsidRDefault="006B6804" w:rsidP="00F176F0">
      <w:pPr>
        <w:pStyle w:val="BodytextAgency"/>
        <w:rPr>
          <w:u w:val="single"/>
        </w:rPr>
      </w:pPr>
      <w:r w:rsidRPr="00F176F0">
        <w:rPr>
          <w:u w:val="single"/>
        </w:rPr>
        <w:t>Meningeom</w:t>
      </w:r>
    </w:p>
    <w:p w14:paraId="343017B0" w14:textId="2C6C2332" w:rsidR="006B6804" w:rsidRPr="006B6804" w:rsidRDefault="006B6804" w:rsidP="006B6804">
      <w:pPr>
        <w:pStyle w:val="BodytextAgency"/>
        <w:rPr>
          <w:u w:val="single"/>
        </w:rPr>
      </w:pPr>
      <w:r w:rsidRPr="006B6804">
        <w:rPr>
          <w:u w:val="single"/>
        </w:rPr>
        <w:t xml:space="preserve">Bruk av medroksyprogesteronacetat har vært knyttet til utviklingen av </w:t>
      </w:r>
      <w:r w:rsidR="00825C24">
        <w:rPr>
          <w:u w:val="single"/>
        </w:rPr>
        <w:t xml:space="preserve">en </w:t>
      </w:r>
      <w:r w:rsidRPr="006B6804">
        <w:rPr>
          <w:u w:val="single"/>
        </w:rPr>
        <w:t xml:space="preserve">vanligvis godartet svulst i vevet som omgir hjernen og ryggmargen (meningeom). Risikoen øker spesielt </w:t>
      </w:r>
      <w:r w:rsidR="007D0369">
        <w:rPr>
          <w:u w:val="single"/>
        </w:rPr>
        <w:t>dersom du bruker det over lang tid</w:t>
      </w:r>
      <w:r w:rsidRPr="006B6804">
        <w:rPr>
          <w:u w:val="single"/>
        </w:rPr>
        <w:t xml:space="preserve"> (flere år). Hvis du får diagnosen meningeom, vil legen din </w:t>
      </w:r>
      <w:r w:rsidR="004C21F9">
        <w:rPr>
          <w:u w:val="single"/>
        </w:rPr>
        <w:t>revurdere</w:t>
      </w:r>
      <w:r w:rsidR="006B1DF7">
        <w:rPr>
          <w:u w:val="single"/>
        </w:rPr>
        <w:t xml:space="preserve"> </w:t>
      </w:r>
      <w:r w:rsidRPr="006B6804">
        <w:rPr>
          <w:u w:val="single"/>
        </w:rPr>
        <w:t>behandling</w:t>
      </w:r>
      <w:r w:rsidR="007D0369">
        <w:rPr>
          <w:u w:val="single"/>
        </w:rPr>
        <w:t>en din</w:t>
      </w:r>
      <w:r w:rsidRPr="006B6804">
        <w:rPr>
          <w:u w:val="single"/>
        </w:rPr>
        <w:t xml:space="preserve"> med &lt;</w:t>
      </w:r>
      <w:r w:rsidR="00E5560A">
        <w:rPr>
          <w:u w:val="single"/>
        </w:rPr>
        <w:t>P</w:t>
      </w:r>
      <w:r w:rsidRPr="006B6804">
        <w:rPr>
          <w:u w:val="single"/>
        </w:rPr>
        <w:t xml:space="preserve">roduktnavn&gt;. Hvis du merker noen symptomer som endringer i synet (f.eks. dobbeltsyn eller uklart syn), hørselstap eller ringing i ørene, tap av luktesans, hodepine som forverres over tid, hukommelsestap, </w:t>
      </w:r>
      <w:r w:rsidR="003830A3">
        <w:rPr>
          <w:u w:val="single"/>
        </w:rPr>
        <w:t>krampe</w:t>
      </w:r>
      <w:r w:rsidRPr="006B6804">
        <w:rPr>
          <w:u w:val="single"/>
        </w:rPr>
        <w:t>anfall</w:t>
      </w:r>
      <w:r>
        <w:rPr>
          <w:u w:val="single"/>
        </w:rPr>
        <w:t xml:space="preserve">, </w:t>
      </w:r>
      <w:r w:rsidRPr="006B6804">
        <w:rPr>
          <w:u w:val="single"/>
        </w:rPr>
        <w:t>svakhet i armer eller bein, må du</w:t>
      </w:r>
      <w:r>
        <w:rPr>
          <w:u w:val="single"/>
        </w:rPr>
        <w:t xml:space="preserve"> umiddelbart</w:t>
      </w:r>
      <w:r w:rsidRPr="006B6804">
        <w:rPr>
          <w:u w:val="single"/>
        </w:rPr>
        <w:t xml:space="preserve"> informere legen din.</w:t>
      </w:r>
    </w:p>
    <w:p w14:paraId="321C3CD6" w14:textId="5146F28B" w:rsidR="004C21F9" w:rsidRPr="00DE4C8A" w:rsidRDefault="00A134C7" w:rsidP="004C21F9">
      <w:pPr>
        <w:pStyle w:val="BodytextAgency"/>
        <w:rPr>
          <w:b/>
          <w:bCs/>
        </w:rPr>
      </w:pPr>
      <w:r>
        <w:rPr>
          <w:b/>
          <w:bCs/>
        </w:rPr>
        <w:br/>
      </w:r>
      <w:r w:rsidR="004C21F9" w:rsidRPr="00DE4C8A">
        <w:rPr>
          <w:b/>
          <w:bCs/>
        </w:rPr>
        <w:t xml:space="preserve">MPA-inneholdende produkter </w:t>
      </w:r>
      <w:r w:rsidR="004C21F9">
        <w:rPr>
          <w:b/>
          <w:bCs/>
        </w:rPr>
        <w:t>med både ikke-onkologiske og onkologiske indikasjoner (</w:t>
      </w:r>
      <w:r w:rsidR="004C21F9" w:rsidRPr="00DE4C8A">
        <w:rPr>
          <w:b/>
          <w:bCs/>
        </w:rPr>
        <w:t xml:space="preserve">alle </w:t>
      </w:r>
      <w:r w:rsidR="004C21F9">
        <w:rPr>
          <w:b/>
          <w:bCs/>
        </w:rPr>
        <w:t xml:space="preserve">parenterale </w:t>
      </w:r>
      <w:r w:rsidR="004C21F9" w:rsidRPr="00DE4C8A">
        <w:rPr>
          <w:b/>
          <w:bCs/>
        </w:rPr>
        <w:t>formul</w:t>
      </w:r>
      <w:r w:rsidR="004C21F9">
        <w:rPr>
          <w:b/>
          <w:bCs/>
        </w:rPr>
        <w:t>eringer</w:t>
      </w:r>
      <w:r w:rsidR="004C21F9" w:rsidRPr="00DE4C8A">
        <w:rPr>
          <w:b/>
          <w:bCs/>
        </w:rPr>
        <w:t xml:space="preserve"> </w:t>
      </w:r>
      <w:r w:rsidR="004C21F9">
        <w:rPr>
          <w:b/>
          <w:bCs/>
        </w:rPr>
        <w:t>og</w:t>
      </w:r>
      <w:bookmarkStart w:id="1" w:name="_Hlk176857207"/>
      <w:r w:rsidR="004C21F9" w:rsidRPr="00DE4C8A">
        <w:rPr>
          <w:b/>
          <w:bCs/>
        </w:rPr>
        <w:t xml:space="preserve"> ≥</w:t>
      </w:r>
      <w:r w:rsidR="004C21F9">
        <w:rPr>
          <w:b/>
          <w:bCs/>
        </w:rPr>
        <w:t xml:space="preserve"> </w:t>
      </w:r>
      <w:bookmarkEnd w:id="1"/>
      <w:r w:rsidR="004C21F9" w:rsidRPr="00DE4C8A">
        <w:rPr>
          <w:b/>
          <w:bCs/>
        </w:rPr>
        <w:t>100 mg oral</w:t>
      </w:r>
      <w:r w:rsidR="004C21F9">
        <w:rPr>
          <w:b/>
          <w:bCs/>
        </w:rPr>
        <w:t>e</w:t>
      </w:r>
      <w:r w:rsidR="004C21F9" w:rsidRPr="00DE4C8A">
        <w:rPr>
          <w:b/>
          <w:bCs/>
        </w:rPr>
        <w:t xml:space="preserve"> formul</w:t>
      </w:r>
      <w:r w:rsidR="004C21F9">
        <w:rPr>
          <w:b/>
          <w:bCs/>
        </w:rPr>
        <w:t>eringer)</w:t>
      </w:r>
      <w:r w:rsidR="004C21F9" w:rsidRPr="00DE4C8A">
        <w:rPr>
          <w:b/>
          <w:bCs/>
        </w:rPr>
        <w:t>:</w:t>
      </w:r>
    </w:p>
    <w:p w14:paraId="0DB1CCC9" w14:textId="0056A6CD" w:rsidR="00F176F0" w:rsidRPr="00F176F0" w:rsidRDefault="00F176F0" w:rsidP="00F176F0">
      <w:pPr>
        <w:pStyle w:val="BodytextAgency"/>
        <w:rPr>
          <w:b/>
          <w:bCs/>
        </w:rPr>
      </w:pPr>
    </w:p>
    <w:p w14:paraId="0DB1CCCA" w14:textId="26FD1A7D" w:rsidR="00F176F0" w:rsidRPr="00F176F0" w:rsidRDefault="00E61E48" w:rsidP="00F176F0">
      <w:pPr>
        <w:pStyle w:val="BodytextAgency"/>
      </w:pPr>
      <w:r>
        <w:lastRenderedPageBreak/>
        <w:t>B</w:t>
      </w:r>
      <w:r w:rsidR="004C21F9" w:rsidRPr="006B6804">
        <w:t xml:space="preserve">ruk </w:t>
      </w:r>
      <w:r>
        <w:t xml:space="preserve">ikke </w:t>
      </w:r>
      <w:r w:rsidR="004C21F9" w:rsidRPr="006B6804">
        <w:t>&lt;</w:t>
      </w:r>
      <w:r w:rsidR="0073721F">
        <w:t>P</w:t>
      </w:r>
      <w:r w:rsidR="004C21F9" w:rsidRPr="006B6804">
        <w:t>roduktnavn&gt;</w:t>
      </w:r>
    </w:p>
    <w:p w14:paraId="4FE444BA" w14:textId="3D9E79CD" w:rsidR="004C21F9" w:rsidRDefault="004C21F9" w:rsidP="004C21F9">
      <w:pPr>
        <w:pStyle w:val="BodytextAgency"/>
        <w:rPr>
          <w:u w:val="single"/>
        </w:rPr>
      </w:pPr>
      <w:r w:rsidRPr="006B6804">
        <w:rPr>
          <w:u w:val="single"/>
        </w:rPr>
        <w:t>Hvis du har meningeom eller noen gang har fått diagnosen meningeom (</w:t>
      </w:r>
      <w:r w:rsidR="00162A71">
        <w:rPr>
          <w:u w:val="single"/>
        </w:rPr>
        <w:t xml:space="preserve">en </w:t>
      </w:r>
      <w:r w:rsidRPr="006B6804">
        <w:rPr>
          <w:u w:val="single"/>
        </w:rPr>
        <w:t>vanligvis godartet svulst i vevslaget som omgir hjernen og ryggmargen)</w:t>
      </w:r>
      <w:r w:rsidR="00E41B29">
        <w:rPr>
          <w:u w:val="single"/>
        </w:rPr>
        <w:t xml:space="preserve"> </w:t>
      </w:r>
      <w:r w:rsidR="00162A71">
        <w:rPr>
          <w:u w:val="single"/>
        </w:rPr>
        <w:t>med mindre</w:t>
      </w:r>
      <w:r w:rsidR="00E41B29">
        <w:rPr>
          <w:u w:val="single"/>
        </w:rPr>
        <w:t xml:space="preserve"> du bruker &lt;</w:t>
      </w:r>
      <w:r w:rsidR="002F605E">
        <w:rPr>
          <w:u w:val="single"/>
        </w:rPr>
        <w:t>P</w:t>
      </w:r>
      <w:r w:rsidR="00E41B29">
        <w:rPr>
          <w:u w:val="single"/>
        </w:rPr>
        <w:t xml:space="preserve">roduktnavn&gt; </w:t>
      </w:r>
      <w:r w:rsidR="00124AD3">
        <w:rPr>
          <w:u w:val="single"/>
        </w:rPr>
        <w:t xml:space="preserve">mot </w:t>
      </w:r>
      <w:r w:rsidR="00E41B29">
        <w:rPr>
          <w:u w:val="single"/>
        </w:rPr>
        <w:t>kreft</w:t>
      </w:r>
      <w:r w:rsidRPr="006B6804">
        <w:rPr>
          <w:u w:val="single"/>
        </w:rPr>
        <w:t>.</w:t>
      </w:r>
    </w:p>
    <w:p w14:paraId="032D610D" w14:textId="76265AA1" w:rsidR="004C21F9" w:rsidRPr="00E41B29" w:rsidRDefault="004C21F9" w:rsidP="004C21F9">
      <w:pPr>
        <w:pStyle w:val="BodytextAgency"/>
        <w:rPr>
          <w:u w:val="single"/>
        </w:rPr>
      </w:pPr>
      <w:r w:rsidRPr="00E41B29">
        <w:rPr>
          <w:u w:val="single"/>
        </w:rPr>
        <w:t>Informer legen din dersom noen av</w:t>
      </w:r>
      <w:r w:rsidR="00162A71">
        <w:rPr>
          <w:u w:val="single"/>
        </w:rPr>
        <w:t xml:space="preserve"> de</w:t>
      </w:r>
      <w:r w:rsidRPr="00E41B29">
        <w:rPr>
          <w:u w:val="single"/>
        </w:rPr>
        <w:t xml:space="preserve"> følgende tilstander gjelder deg. </w:t>
      </w:r>
    </w:p>
    <w:p w14:paraId="0DB1CCCD" w14:textId="0F8DF3B4" w:rsidR="00F176F0" w:rsidRPr="00F176F0" w:rsidRDefault="009829D4" w:rsidP="00F176F0">
      <w:pPr>
        <w:pStyle w:val="BodytextAgency"/>
        <w:keepNext/>
        <w:rPr>
          <w:bCs/>
        </w:rPr>
      </w:pPr>
      <w:r>
        <w:rPr>
          <w:bCs/>
        </w:rPr>
        <w:br/>
      </w:r>
      <w:r w:rsidR="00B9253D">
        <w:rPr>
          <w:bCs/>
        </w:rPr>
        <w:t>Underavsnitt</w:t>
      </w:r>
      <w:r w:rsidRPr="00F176F0">
        <w:rPr>
          <w:bCs/>
        </w:rPr>
        <w:t xml:space="preserve"> “</w:t>
      </w:r>
      <w:r w:rsidR="006B6804">
        <w:rPr>
          <w:bCs/>
        </w:rPr>
        <w:t>A</w:t>
      </w:r>
      <w:r w:rsidR="00B9253D">
        <w:rPr>
          <w:bCs/>
        </w:rPr>
        <w:t>dvarsler og forsiktighetsregler</w:t>
      </w:r>
      <w:r w:rsidRPr="00F176F0">
        <w:rPr>
          <w:bCs/>
        </w:rPr>
        <w:t>”</w:t>
      </w:r>
    </w:p>
    <w:p w14:paraId="0DB1CCCE" w14:textId="0FF93A23" w:rsidR="00F176F0" w:rsidRPr="00F176F0" w:rsidRDefault="00B9253D" w:rsidP="00F176F0">
      <w:pPr>
        <w:pStyle w:val="BodytextAgency"/>
        <w:rPr>
          <w:u w:val="single"/>
        </w:rPr>
      </w:pPr>
      <w:r w:rsidRPr="00F176F0">
        <w:rPr>
          <w:u w:val="single"/>
        </w:rPr>
        <w:t>Meningeom</w:t>
      </w:r>
    </w:p>
    <w:p w14:paraId="0107013F" w14:textId="2029F09D" w:rsidR="00E41B29" w:rsidRPr="006B6804" w:rsidRDefault="00E41B29" w:rsidP="00E41B29">
      <w:pPr>
        <w:pStyle w:val="BodytextAgency"/>
        <w:rPr>
          <w:u w:val="single"/>
        </w:rPr>
      </w:pPr>
      <w:r w:rsidRPr="006B6804">
        <w:rPr>
          <w:u w:val="single"/>
        </w:rPr>
        <w:t xml:space="preserve">Bruk av medroksyprogesteronacetat har vært knyttet til utviklingen av </w:t>
      </w:r>
      <w:r w:rsidR="00162A71">
        <w:rPr>
          <w:u w:val="single"/>
        </w:rPr>
        <w:t xml:space="preserve">en </w:t>
      </w:r>
      <w:r w:rsidRPr="006B6804">
        <w:rPr>
          <w:u w:val="single"/>
        </w:rPr>
        <w:t xml:space="preserve">vanligvis godartet svulst i vevet som omgir hjernen og ryggmargen (meningeom). Risikoen øker spesielt </w:t>
      </w:r>
      <w:r w:rsidR="00162A71">
        <w:rPr>
          <w:u w:val="single"/>
        </w:rPr>
        <w:t xml:space="preserve">dersom du bruker det over lang tid </w:t>
      </w:r>
      <w:r w:rsidRPr="006B6804">
        <w:rPr>
          <w:u w:val="single"/>
        </w:rPr>
        <w:t xml:space="preserve">(flere år). Hvis du får diagnosen meningeom, vil legen din </w:t>
      </w:r>
      <w:r>
        <w:rPr>
          <w:u w:val="single"/>
        </w:rPr>
        <w:t>revurdere</w:t>
      </w:r>
      <w:r w:rsidR="006B1DF7">
        <w:rPr>
          <w:u w:val="single"/>
        </w:rPr>
        <w:t xml:space="preserve"> </w:t>
      </w:r>
      <w:r w:rsidRPr="006B6804">
        <w:rPr>
          <w:u w:val="single"/>
        </w:rPr>
        <w:t>behandling</w:t>
      </w:r>
      <w:r w:rsidR="00162A71">
        <w:rPr>
          <w:u w:val="single"/>
        </w:rPr>
        <w:t>en din</w:t>
      </w:r>
      <w:r w:rsidRPr="006B6804">
        <w:rPr>
          <w:u w:val="single"/>
        </w:rPr>
        <w:t xml:space="preserve"> med &lt;</w:t>
      </w:r>
      <w:r w:rsidR="002F605E">
        <w:rPr>
          <w:u w:val="single"/>
        </w:rPr>
        <w:t>P</w:t>
      </w:r>
      <w:r w:rsidRPr="006B6804">
        <w:rPr>
          <w:u w:val="single"/>
        </w:rPr>
        <w:t xml:space="preserve">roduktnavn&gt;. Hvis du merker noen symptomer som endringer i synet (f.eks. dobbeltsyn eller uklart syn), hørselstap eller ringing i ørene, tap av luktesans, hodepine som forverres over tid, hukommelsestap, </w:t>
      </w:r>
      <w:r w:rsidR="003830A3">
        <w:rPr>
          <w:u w:val="single"/>
        </w:rPr>
        <w:t>krampe</w:t>
      </w:r>
      <w:r w:rsidRPr="006B6804">
        <w:rPr>
          <w:u w:val="single"/>
        </w:rPr>
        <w:t>anfall</w:t>
      </w:r>
      <w:r>
        <w:rPr>
          <w:u w:val="single"/>
        </w:rPr>
        <w:t xml:space="preserve">, </w:t>
      </w:r>
      <w:r w:rsidRPr="006B6804">
        <w:rPr>
          <w:u w:val="single"/>
        </w:rPr>
        <w:t>svakhet i armer eller bein, må du</w:t>
      </w:r>
      <w:r>
        <w:rPr>
          <w:u w:val="single"/>
        </w:rPr>
        <w:t xml:space="preserve"> umiddelbart</w:t>
      </w:r>
      <w:r w:rsidRPr="006B6804">
        <w:rPr>
          <w:u w:val="single"/>
        </w:rPr>
        <w:t xml:space="preserve"> informere legen din.</w:t>
      </w:r>
    </w:p>
    <w:p w14:paraId="0DB1CCD0" w14:textId="68ADB42E" w:rsidR="00F176F0" w:rsidRPr="00F176F0" w:rsidRDefault="009829D4" w:rsidP="00F176F0">
      <w:pPr>
        <w:pStyle w:val="BodytextAgency"/>
        <w:rPr>
          <w:rFonts w:cs="Arial"/>
          <w:iCs/>
          <w:lang w:eastAsia="de-DE"/>
        </w:rPr>
      </w:pPr>
      <w:r w:rsidRPr="00F176F0">
        <w:br/>
        <w:t xml:space="preserve">4. </w:t>
      </w:r>
      <w:r w:rsidR="00B9253D">
        <w:rPr>
          <w:rFonts w:cs="Arial"/>
          <w:iCs/>
          <w:lang w:eastAsia="de-DE"/>
        </w:rPr>
        <w:t>Mulige bivirkninger</w:t>
      </w:r>
      <w:r w:rsidRPr="00F176F0">
        <w:rPr>
          <w:rFonts w:cs="Arial"/>
          <w:iCs/>
          <w:lang w:eastAsia="de-DE"/>
        </w:rPr>
        <w:t xml:space="preserve"> </w:t>
      </w:r>
    </w:p>
    <w:p w14:paraId="776300A5" w14:textId="43DEB067" w:rsidR="0094767E" w:rsidRPr="0094767E" w:rsidRDefault="0094767E" w:rsidP="00F176F0">
      <w:pPr>
        <w:autoSpaceDE w:val="0"/>
        <w:autoSpaceDN w:val="0"/>
        <w:adjustRightInd w:val="0"/>
        <w:spacing w:line="360" w:lineRule="auto"/>
        <w:rPr>
          <w:rFonts w:ascii="Verdana" w:eastAsia="Verdana" w:hAnsi="Verdana" w:cs="Verdana"/>
          <w:b/>
        </w:rPr>
      </w:pPr>
      <w:r w:rsidRPr="0094767E">
        <w:rPr>
          <w:rFonts w:ascii="Verdana" w:eastAsia="Verdana" w:hAnsi="Verdana" w:cs="Verdana" w:hint="eastAsia"/>
          <w:b/>
        </w:rPr>
        <w:t xml:space="preserve">MPA-inneholdende produkter </w:t>
      </w:r>
      <w:r>
        <w:rPr>
          <w:rFonts w:ascii="Verdana" w:eastAsia="Verdana" w:hAnsi="Verdana" w:cs="Verdana"/>
          <w:b/>
        </w:rPr>
        <w:t xml:space="preserve">med </w:t>
      </w:r>
      <w:r w:rsidRPr="0094767E">
        <w:rPr>
          <w:rFonts w:ascii="Verdana" w:eastAsia="Verdana" w:hAnsi="Verdana" w:cs="Verdana" w:hint="eastAsia"/>
          <w:b/>
        </w:rPr>
        <w:t xml:space="preserve">alle parenterale formuleringer og </w:t>
      </w:r>
      <w:r w:rsidRPr="0094767E">
        <w:rPr>
          <w:rFonts w:ascii="Verdana" w:eastAsia="Verdana" w:hAnsi="Verdana" w:cs="Verdana"/>
          <w:b/>
        </w:rPr>
        <w:t>≥</w:t>
      </w:r>
      <w:r>
        <w:rPr>
          <w:b/>
          <w:bCs/>
        </w:rPr>
        <w:t xml:space="preserve"> </w:t>
      </w:r>
      <w:r w:rsidRPr="0094767E">
        <w:rPr>
          <w:rFonts w:ascii="Verdana" w:eastAsia="Verdana" w:hAnsi="Verdana" w:cs="Verdana" w:hint="eastAsia"/>
          <w:b/>
        </w:rPr>
        <w:t>100 mg orale formuleringer:</w:t>
      </w:r>
    </w:p>
    <w:p w14:paraId="0DB1CCD3" w14:textId="4E571891" w:rsidR="00AE3BF2" w:rsidRPr="0094767E" w:rsidRDefault="0094767E" w:rsidP="00AE3BF2">
      <w:pPr>
        <w:pStyle w:val="BodytextAgency"/>
      </w:pPr>
      <w:r w:rsidRPr="0094767E">
        <w:rPr>
          <w:rFonts w:eastAsia="SimSun" w:cs="Times New Roman"/>
          <w:bCs/>
          <w:iCs/>
          <w:u w:val="single"/>
        </w:rPr>
        <w:t xml:space="preserve">Vanligvis godartet svulst i vevet som omgir hjernen og ryggmargen (meningeom) med en </w:t>
      </w:r>
      <w:r>
        <w:rPr>
          <w:rFonts w:eastAsia="SimSun" w:cs="Times New Roman"/>
          <w:bCs/>
          <w:iCs/>
          <w:u w:val="single"/>
        </w:rPr>
        <w:t xml:space="preserve">ukjent </w:t>
      </w:r>
      <w:r w:rsidRPr="0094767E">
        <w:rPr>
          <w:rFonts w:eastAsia="SimSun" w:cs="Times New Roman"/>
          <w:bCs/>
          <w:iCs/>
          <w:u w:val="single"/>
        </w:rPr>
        <w:t>frekvens (se avsnitt 2 "Advarsler og for</w:t>
      </w:r>
      <w:r w:rsidR="00BA27E1">
        <w:rPr>
          <w:rFonts w:eastAsia="SimSun" w:cs="Times New Roman"/>
          <w:bCs/>
          <w:iCs/>
          <w:u w:val="single"/>
        </w:rPr>
        <w:t>siktighet</w:t>
      </w:r>
      <w:r w:rsidRPr="0094767E">
        <w:rPr>
          <w:rFonts w:eastAsia="SimSun" w:cs="Times New Roman"/>
          <w:bCs/>
          <w:iCs/>
          <w:u w:val="single"/>
        </w:rPr>
        <w:t>sregler").</w:t>
      </w:r>
    </w:p>
    <w:p w14:paraId="0DB1CCD4" w14:textId="77777777" w:rsidR="00AE3BF2" w:rsidRPr="0094767E" w:rsidRDefault="00AE3BF2" w:rsidP="00AE3BF2">
      <w:pPr>
        <w:pStyle w:val="BodytextAgency"/>
      </w:pPr>
    </w:p>
    <w:p w14:paraId="0DB1CCD5" w14:textId="77777777" w:rsidR="00AE3BF2" w:rsidRPr="0094767E" w:rsidRDefault="00AE3BF2" w:rsidP="00AE3BF2">
      <w:pPr>
        <w:pStyle w:val="BodytextAgency"/>
      </w:pPr>
    </w:p>
    <w:p w14:paraId="0DB1CCD6" w14:textId="77777777" w:rsidR="001503FB" w:rsidRPr="0094767E" w:rsidRDefault="009829D4" w:rsidP="00D533D0">
      <w:pPr>
        <w:pStyle w:val="BodytextAgency"/>
        <w:spacing w:before="120"/>
        <w:jc w:val="both"/>
        <w:rPr>
          <w:iCs/>
        </w:rPr>
      </w:pPr>
      <w:r w:rsidRPr="0094767E">
        <w:br/>
      </w:r>
    </w:p>
    <w:sectPr w:rsidR="001503FB" w:rsidRPr="0094767E" w:rsidSect="00C7258D">
      <w:footerReference w:type="default" r:id="rId8"/>
      <w:headerReference w:type="first" r:id="rId9"/>
      <w:footerReference w:type="first" r:id="rId10"/>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8B1D2" w14:textId="77777777" w:rsidR="001869B1" w:rsidRDefault="001869B1">
      <w:r>
        <w:separator/>
      </w:r>
    </w:p>
  </w:endnote>
  <w:endnote w:type="continuationSeparator" w:id="0">
    <w:p w14:paraId="216051C9" w14:textId="77777777" w:rsidR="001869B1" w:rsidRDefault="0018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6196"/>
      <w:gridCol w:w="3217"/>
    </w:tblGrid>
    <w:tr w:rsidR="00872AE0" w14:paraId="0DB1CCDA" w14:textId="77777777">
      <w:tc>
        <w:tcPr>
          <w:tcW w:w="5000" w:type="pct"/>
          <w:gridSpan w:val="2"/>
          <w:tcBorders>
            <w:top w:val="single" w:sz="2" w:space="0" w:color="auto"/>
            <w:left w:val="nil"/>
            <w:bottom w:val="nil"/>
            <w:right w:val="nil"/>
          </w:tcBorders>
          <w:tcMar>
            <w:left w:w="0" w:type="dxa"/>
            <w:right w:w="0" w:type="dxa"/>
          </w:tcMar>
        </w:tcPr>
        <w:p w14:paraId="0DB1CCD9" w14:textId="77777777" w:rsidR="005C04A5" w:rsidRDefault="005C04A5">
          <w:pPr>
            <w:pStyle w:val="FooterAgency"/>
          </w:pPr>
        </w:p>
      </w:tc>
    </w:tr>
    <w:tr w:rsidR="00872AE0" w:rsidRPr="00DE4C8A" w14:paraId="0DB1CCDD" w14:textId="77777777">
      <w:tc>
        <w:tcPr>
          <w:tcW w:w="3291" w:type="pct"/>
          <w:tcMar>
            <w:left w:w="0" w:type="dxa"/>
            <w:right w:w="0" w:type="dxa"/>
          </w:tcMar>
        </w:tcPr>
        <w:p w14:paraId="0DB1CCDB" w14:textId="6803E973" w:rsidR="005C04A5" w:rsidRPr="00DE4C8A" w:rsidRDefault="009829D4">
          <w:pPr>
            <w:pStyle w:val="FooterAgency"/>
          </w:pPr>
          <w:r>
            <w:rPr>
              <w:szCs w:val="15"/>
            </w:rPr>
            <w:fldChar w:fldCharType="begin"/>
          </w:r>
          <w:r w:rsidRPr="00DE4C8A">
            <w:rPr>
              <w:szCs w:val="15"/>
            </w:rPr>
            <w:instrText xml:space="preserve"> IF </w:instrText>
          </w:r>
          <w:r w:rsidR="00B146B5">
            <w:fldChar w:fldCharType="begin"/>
          </w:r>
          <w:r w:rsidRPr="00DE4C8A">
            <w:instrText xml:space="preserve"> STYLEREF  "Doc title (Agency)"  \* MERGEFORMAT </w:instrText>
          </w:r>
          <w:r w:rsidR="00B146B5">
            <w:fldChar w:fldCharType="separate"/>
          </w:r>
          <w:r w:rsidR="007C20D8" w:rsidRPr="007C20D8">
            <w:rPr>
              <w:b/>
              <w:bCs/>
              <w:noProof/>
            </w:rPr>
            <w:instrText>Anbefaling fra PRAC etter signalutredning – oppdatering av produktinformasjon</w:instrText>
          </w:r>
          <w:r w:rsidR="00B146B5">
            <w:rPr>
              <w:noProof/>
            </w:rPr>
            <w:fldChar w:fldCharType="end"/>
          </w:r>
          <w:r w:rsidRPr="00DE4C8A">
            <w:rPr>
              <w:szCs w:val="15"/>
            </w:rPr>
            <w:instrText xml:space="preserve"> &lt;&gt; "Error*"</w:instrText>
          </w:r>
          <w:r w:rsidR="00B146B5">
            <w:fldChar w:fldCharType="begin"/>
          </w:r>
          <w:r w:rsidRPr="00DE4C8A">
            <w:instrText xml:space="preserve"> STYLEREF  "Doc title (Agency)"  \* MERGEFORMAT </w:instrText>
          </w:r>
          <w:r w:rsidR="00B146B5">
            <w:fldChar w:fldCharType="separate"/>
          </w:r>
          <w:r w:rsidR="007C20D8" w:rsidRPr="007C20D8">
            <w:rPr>
              <w:b/>
              <w:bCs/>
              <w:noProof/>
            </w:rPr>
            <w:instrText>Anbefaling fra PRAC etter signalutredning – oppdatering av produktinformasjon</w:instrText>
          </w:r>
          <w:r w:rsidR="00B146B5">
            <w:rPr>
              <w:noProof/>
            </w:rPr>
            <w:fldChar w:fldCharType="end"/>
          </w:r>
          <w:r w:rsidRPr="00DE4C8A">
            <w:rPr>
              <w:szCs w:val="15"/>
            </w:rPr>
            <w:instrText xml:space="preserve"> \* MERGEFORMAT </w:instrText>
          </w:r>
          <w:r>
            <w:rPr>
              <w:szCs w:val="15"/>
            </w:rPr>
            <w:fldChar w:fldCharType="separate"/>
          </w:r>
          <w:r w:rsidR="007C20D8" w:rsidRPr="007C20D8">
            <w:rPr>
              <w:noProof/>
            </w:rPr>
            <w:t>Anbefaling fra PRAC etter signalutredning – oppdatering av produktinformasjon</w:t>
          </w:r>
          <w:r>
            <w:rPr>
              <w:szCs w:val="15"/>
            </w:rPr>
            <w:fldChar w:fldCharType="end"/>
          </w:r>
          <w:r w:rsidRPr="00DE4C8A">
            <w:rPr>
              <w:szCs w:val="15"/>
            </w:rPr>
            <w:t xml:space="preserve"> </w:t>
          </w:r>
        </w:p>
      </w:tc>
      <w:tc>
        <w:tcPr>
          <w:tcW w:w="1709" w:type="pct"/>
          <w:tcMar>
            <w:left w:w="0" w:type="dxa"/>
            <w:right w:w="0" w:type="dxa"/>
          </w:tcMar>
        </w:tcPr>
        <w:p w14:paraId="0DB1CCDC" w14:textId="77777777" w:rsidR="005C04A5" w:rsidRPr="00DE4C8A" w:rsidRDefault="005C04A5">
          <w:pPr>
            <w:pStyle w:val="FooterAgency"/>
          </w:pPr>
        </w:p>
      </w:tc>
    </w:tr>
    <w:tr w:rsidR="00872AE0" w14:paraId="0DB1CCE0" w14:textId="77777777">
      <w:tc>
        <w:tcPr>
          <w:tcW w:w="3291" w:type="pct"/>
          <w:tcMar>
            <w:left w:w="0" w:type="dxa"/>
            <w:right w:w="0" w:type="dxa"/>
          </w:tcMar>
        </w:tcPr>
        <w:p w14:paraId="0DB1CCDE" w14:textId="77777777" w:rsidR="005C04A5" w:rsidRDefault="009829D4">
          <w:pPr>
            <w:pStyle w:val="FooterAgency"/>
          </w:pPr>
          <w:r>
            <w:rPr>
              <w:szCs w:val="15"/>
            </w:rPr>
            <w:fldChar w:fldCharType="begin"/>
          </w:r>
          <w:r>
            <w:rPr>
              <w:szCs w:val="15"/>
            </w:rPr>
            <w:instrText xml:space="preserve"> IF </w:instrText>
          </w:r>
          <w:r w:rsidRPr="005C04A5">
            <w:rPr>
              <w:lang w:val="en-GB"/>
            </w:rPr>
            <w:fldChar w:fldCharType="begin"/>
          </w:r>
          <w:r>
            <w:instrText xml:space="preserve"> DOCPROPERTY "DM_emea_doc_ref_id"  \* MERGEFORMAT </w:instrText>
          </w:r>
          <w:r w:rsidRPr="005C04A5">
            <w:rPr>
              <w:lang w:val="en-GB"/>
            </w:rPr>
            <w:fldChar w:fldCharType="separate"/>
          </w:r>
          <w:r w:rsidRPr="005C04A5">
            <w:rPr>
              <w:b/>
              <w:bCs/>
              <w:lang w:val="en-US"/>
            </w:rPr>
            <w:instrText>EMA/PRAC/373355/2024</w:instrText>
          </w:r>
          <w:r w:rsidRPr="005C04A5">
            <w:rPr>
              <w:b/>
              <w:bCs/>
              <w:lang w:val="en-US"/>
            </w:rPr>
            <w:fldChar w:fldCharType="end"/>
          </w:r>
          <w:r>
            <w:rPr>
              <w:szCs w:val="15"/>
            </w:rPr>
            <w:instrText xml:space="preserve"> &lt;&gt; "Error*"</w:instrText>
          </w:r>
          <w:r w:rsidR="007C20D8">
            <w:fldChar w:fldCharType="begin"/>
          </w:r>
          <w:r w:rsidR="007C20D8">
            <w:instrText xml:space="preserve"> DOCPROPERTY "DM_emea_doc_ref_id"  \* MERGEFORMAT </w:instrText>
          </w:r>
          <w:r w:rsidR="007C20D8">
            <w:fldChar w:fldCharType="separate"/>
          </w:r>
          <w:r>
            <w:instrText>EMA/PRAC/373355/2024</w:instrText>
          </w:r>
          <w:r w:rsidR="007C20D8">
            <w:fldChar w:fldCharType="end"/>
          </w:r>
          <w:r>
            <w:rPr>
              <w:szCs w:val="15"/>
            </w:rPr>
            <w:instrText xml:space="preserve"> \* MERGEFORMAT </w:instrText>
          </w:r>
          <w:r>
            <w:rPr>
              <w:szCs w:val="15"/>
            </w:rPr>
            <w:fldChar w:fldCharType="separate"/>
          </w:r>
          <w:r>
            <w:rPr>
              <w:noProof/>
            </w:rPr>
            <w:t>EMA/PRAC/373355/2024</w:t>
          </w:r>
          <w:r>
            <w:rPr>
              <w:szCs w:val="15"/>
            </w:rPr>
            <w:fldChar w:fldCharType="end"/>
          </w:r>
          <w:r>
            <w:rPr>
              <w:szCs w:val="15"/>
            </w:rPr>
            <w:t xml:space="preserve"> </w:t>
          </w:r>
        </w:p>
      </w:tc>
      <w:tc>
        <w:tcPr>
          <w:tcW w:w="1709" w:type="pct"/>
          <w:tcMar>
            <w:left w:w="0" w:type="dxa"/>
            <w:right w:w="0" w:type="dxa"/>
          </w:tcMar>
        </w:tcPr>
        <w:p w14:paraId="0DB1CCDF" w14:textId="77777777" w:rsidR="005C04A5" w:rsidRDefault="009829D4">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2</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2</w:t>
          </w:r>
          <w:r>
            <w:rPr>
              <w:rStyle w:val="PageNumberAgency0"/>
            </w:rPr>
            <w:fldChar w:fldCharType="end"/>
          </w:r>
        </w:p>
      </w:tc>
    </w:tr>
  </w:tbl>
  <w:p w14:paraId="0DB1CCE1" w14:textId="77777777" w:rsidR="005C04A5" w:rsidRDefault="005C04A5" w:rsidP="005C04A5">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1E0" w:firstRow="1" w:lastRow="1" w:firstColumn="1" w:lastColumn="1" w:noHBand="0" w:noVBand="0"/>
    </w:tblPr>
    <w:tblGrid>
      <w:gridCol w:w="6521"/>
      <w:gridCol w:w="2892"/>
    </w:tblGrid>
    <w:tr w:rsidR="00872AE0" w14:paraId="0DB1CCE4" w14:textId="77777777">
      <w:tc>
        <w:tcPr>
          <w:tcW w:w="9413" w:type="dxa"/>
          <w:gridSpan w:val="2"/>
          <w:tcBorders>
            <w:top w:val="single" w:sz="2" w:space="0" w:color="auto"/>
            <w:left w:val="nil"/>
            <w:bottom w:val="nil"/>
            <w:right w:val="nil"/>
          </w:tcBorders>
          <w:tcMar>
            <w:left w:w="0" w:type="dxa"/>
            <w:right w:w="0" w:type="dxa"/>
          </w:tcMar>
          <w:vAlign w:val="bottom"/>
        </w:tcPr>
        <w:p w14:paraId="0DB1CCE3" w14:textId="77777777" w:rsidR="005C04A5" w:rsidRDefault="005C04A5">
          <w:pPr>
            <w:rPr>
              <w:rFonts w:ascii="Verdana" w:eastAsia="Verdana" w:hAnsi="Verdana" w:cs="Verdana"/>
              <w:color w:val="6D6F71"/>
              <w:sz w:val="14"/>
              <w:szCs w:val="14"/>
            </w:rPr>
          </w:pPr>
        </w:p>
      </w:tc>
    </w:tr>
    <w:tr w:rsidR="00872AE0" w14:paraId="0DB1CCED" w14:textId="77777777">
      <w:trPr>
        <w:cantSplit/>
        <w:trHeight w:hRule="exact" w:val="198"/>
      </w:trPr>
      <w:tc>
        <w:tcPr>
          <w:tcW w:w="6521" w:type="dxa"/>
          <w:tcMar>
            <w:left w:w="0" w:type="dxa"/>
            <w:right w:w="0" w:type="dxa"/>
          </w:tcMar>
          <w:vAlign w:val="bottom"/>
        </w:tcPr>
        <w:p w14:paraId="0DB1CCE5" w14:textId="77777777" w:rsidR="005C04A5" w:rsidRPr="00333F3F" w:rsidRDefault="009829D4">
          <w:pPr>
            <w:rPr>
              <w:rFonts w:ascii="Verdana" w:eastAsia="Verdana" w:hAnsi="Verdana" w:cs="Verdana"/>
              <w:color w:val="6D6F71"/>
              <w:sz w:val="14"/>
              <w:szCs w:val="14"/>
              <w:lang w:val="en-US"/>
            </w:rPr>
          </w:pPr>
          <w:r w:rsidRPr="00333F3F">
            <w:rPr>
              <w:rFonts w:ascii="Verdana" w:eastAsia="Verdana" w:hAnsi="Verdana" w:cs="Verdana"/>
              <w:b/>
              <w:color w:val="003399"/>
              <w:sz w:val="13"/>
              <w:szCs w:val="14"/>
              <w:lang w:val="en-US"/>
            </w:rPr>
            <w:t>Official address</w:t>
          </w:r>
          <w:r w:rsidRPr="00333F3F">
            <w:rPr>
              <w:rFonts w:ascii="Verdana" w:eastAsia="Verdana" w:hAnsi="Verdana" w:cs="Verdana"/>
              <w:color w:val="6D6F71"/>
              <w:sz w:val="14"/>
              <w:szCs w:val="14"/>
              <w:lang w:val="en-US"/>
            </w:rPr>
            <w:t xml:space="preserve">  Domenico Scarlattilaan 6  </w:t>
          </w:r>
          <w:r w:rsidRPr="00333F3F">
            <w:rPr>
              <w:rFonts w:ascii="Verdana" w:eastAsia="Verdana" w:hAnsi="Verdana" w:cs="Verdana"/>
              <w:b/>
              <w:color w:val="003399"/>
              <w:sz w:val="13"/>
              <w:szCs w:val="14"/>
              <w:lang w:val="en-US"/>
            </w:rPr>
            <w:t>●</w:t>
          </w:r>
          <w:r w:rsidRPr="00333F3F">
            <w:rPr>
              <w:rFonts w:ascii="Verdana" w:eastAsia="Verdana" w:hAnsi="Verdana" w:cs="Verdana"/>
              <w:color w:val="6D6F71"/>
              <w:sz w:val="14"/>
              <w:szCs w:val="14"/>
              <w:lang w:val="en-US"/>
            </w:rPr>
            <w:t xml:space="preserve">  1083 HS Amsterdam  </w:t>
          </w:r>
          <w:r w:rsidRPr="00333F3F">
            <w:rPr>
              <w:rFonts w:ascii="Verdana" w:eastAsia="Verdana" w:hAnsi="Verdana" w:cs="Verdana"/>
              <w:b/>
              <w:color w:val="003399"/>
              <w:sz w:val="13"/>
              <w:szCs w:val="14"/>
              <w:lang w:val="en-US"/>
            </w:rPr>
            <w:t>●</w:t>
          </w:r>
          <w:r w:rsidRPr="00333F3F">
            <w:rPr>
              <w:rFonts w:ascii="Verdana" w:eastAsia="Verdana" w:hAnsi="Verdana" w:cs="Verdana"/>
              <w:color w:val="6D6F71"/>
              <w:sz w:val="14"/>
              <w:szCs w:val="14"/>
              <w:lang w:val="en-US"/>
            </w:rPr>
            <w:t xml:space="preserve">  The Netherlands</w:t>
          </w:r>
        </w:p>
      </w:tc>
      <w:tc>
        <w:tcPr>
          <w:tcW w:w="2892" w:type="dxa"/>
          <w:vMerge w:val="restart"/>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872AE0" w14:paraId="0DB1CCE8" w14:textId="77777777">
            <w:trPr>
              <w:cantSplit/>
              <w:trHeight w:val="180"/>
              <w:tblHeader/>
              <w:jc w:val="right"/>
            </w:trPr>
            <w:tc>
              <w:tcPr>
                <w:tcW w:w="2183" w:type="dxa"/>
                <w:vMerge w:val="restart"/>
                <w:tcBorders>
                  <w:top w:val="nil"/>
                  <w:left w:val="nil"/>
                  <w:bottom w:val="nil"/>
                  <w:right w:val="nil"/>
                </w:tcBorders>
                <w:vAlign w:val="bottom"/>
              </w:tcPr>
              <w:p w14:paraId="0DB1CCE6" w14:textId="77777777" w:rsidR="005C04A5" w:rsidRPr="00333F3F" w:rsidRDefault="009829D4">
                <w:pPr>
                  <w:jc w:val="right"/>
                  <w:rPr>
                    <w:rFonts w:ascii="Verdana" w:eastAsia="Verdana" w:hAnsi="Verdana" w:cs="Verdana"/>
                    <w:color w:val="6D6F71"/>
                    <w:sz w:val="14"/>
                    <w:szCs w:val="14"/>
                    <w:lang w:val="en-US"/>
                  </w:rPr>
                </w:pPr>
                <w:r w:rsidRPr="00333F3F">
                  <w:rPr>
                    <w:rFonts w:ascii="Verdana" w:eastAsia="Verdana" w:hAnsi="Verdana" w:cs="Verdana"/>
                    <w:color w:val="6D6F71"/>
                    <w:sz w:val="11"/>
                    <w:szCs w:val="11"/>
                    <w:lang w:val="en-US"/>
                  </w:rPr>
                  <w:t xml:space="preserve">An agency of the European Union  </w:t>
                </w:r>
              </w:p>
            </w:tc>
            <w:tc>
              <w:tcPr>
                <w:tcW w:w="709" w:type="dxa"/>
                <w:vMerge w:val="restart"/>
                <w:tcBorders>
                  <w:top w:val="nil"/>
                  <w:left w:val="nil"/>
                  <w:bottom w:val="nil"/>
                  <w:right w:val="nil"/>
                </w:tcBorders>
                <w:tcMar>
                  <w:right w:w="6" w:type="dxa"/>
                </w:tcMar>
                <w:vAlign w:val="bottom"/>
              </w:tcPr>
              <w:p w14:paraId="0DB1CCE7" w14:textId="77777777" w:rsidR="005C04A5" w:rsidRDefault="009829D4">
                <w:pPr>
                  <w:jc w:val="right"/>
                  <w:rPr>
                    <w:rFonts w:ascii="Verdana" w:eastAsia="Verdana" w:hAnsi="Verdana" w:cs="Verdana"/>
                    <w:color w:val="6D6F71"/>
                    <w:sz w:val="14"/>
                    <w:szCs w:val="14"/>
                  </w:rPr>
                </w:pPr>
                <w:r>
                  <w:rPr>
                    <w:rFonts w:ascii="Verdana" w:eastAsia="Verdana" w:hAnsi="Verdana" w:cs="Verdana"/>
                    <w:noProof/>
                    <w:color w:val="6D6F71"/>
                    <w:sz w:val="14"/>
                    <w:szCs w:val="14"/>
                  </w:rPr>
                  <w:drawing>
                    <wp:inline distT="0" distB="0" distL="0" distR="0" wp14:anchorId="0DB1CCFD" wp14:editId="0DB1CCFE">
                      <wp:extent cx="390525" cy="266700"/>
                      <wp:effectExtent l="0" t="0" r="0" b="0"/>
                      <wp:docPr id="2"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19408"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rsidR="00872AE0" w14:paraId="0DB1CCEB" w14:textId="77777777">
            <w:trPr>
              <w:cantSplit/>
              <w:trHeight w:val="390"/>
              <w:jc w:val="right"/>
            </w:trPr>
            <w:tc>
              <w:tcPr>
                <w:tcW w:w="2183" w:type="dxa"/>
                <w:vMerge/>
              </w:tcPr>
              <w:p w14:paraId="0DB1CCE9" w14:textId="77777777" w:rsidR="005C04A5" w:rsidRDefault="005C04A5">
                <w:pPr>
                  <w:rPr>
                    <w:rFonts w:ascii="Verdana" w:eastAsia="Verdana" w:hAnsi="Verdana" w:cs="Verdana"/>
                    <w:color w:val="6D6F71"/>
                    <w:sz w:val="14"/>
                    <w:szCs w:val="14"/>
                  </w:rPr>
                </w:pPr>
              </w:p>
            </w:tc>
            <w:tc>
              <w:tcPr>
                <w:tcW w:w="709" w:type="dxa"/>
                <w:vMerge/>
              </w:tcPr>
              <w:p w14:paraId="0DB1CCEA" w14:textId="77777777" w:rsidR="005C04A5" w:rsidRDefault="005C04A5">
                <w:pPr>
                  <w:rPr>
                    <w:rFonts w:ascii="Verdana" w:eastAsia="Verdana" w:hAnsi="Verdana" w:cs="Verdana"/>
                    <w:color w:val="6D6F71"/>
                    <w:sz w:val="14"/>
                    <w:szCs w:val="14"/>
                  </w:rPr>
                </w:pPr>
              </w:p>
            </w:tc>
          </w:tr>
        </w:tbl>
        <w:p w14:paraId="0DB1CCEC" w14:textId="77777777" w:rsidR="005C04A5" w:rsidRDefault="005C04A5">
          <w:pPr>
            <w:widowControl w:val="0"/>
            <w:adjustRightInd w:val="0"/>
            <w:jc w:val="right"/>
            <w:rPr>
              <w:rFonts w:ascii="Verdana" w:eastAsia="Verdana" w:hAnsi="Verdana" w:cs="Verdana"/>
              <w:color w:val="6D6F71"/>
              <w:sz w:val="14"/>
              <w:szCs w:val="14"/>
            </w:rPr>
          </w:pPr>
        </w:p>
      </w:tc>
    </w:tr>
    <w:tr w:rsidR="00872AE0" w14:paraId="0DB1CCF5" w14:textId="77777777">
      <w:trPr>
        <w:cantSplit/>
        <w:trHeight w:val="390"/>
      </w:trPr>
      <w:tc>
        <w:tcPr>
          <w:tcW w:w="6521" w:type="dxa"/>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872AE0" w:rsidRPr="00F7654B" w14:paraId="0DB1CCEF" w14:textId="77777777">
            <w:trPr>
              <w:trHeight w:hRule="exact" w:val="198"/>
            </w:trPr>
            <w:tc>
              <w:tcPr>
                <w:tcW w:w="6521" w:type="dxa"/>
                <w:gridSpan w:val="2"/>
                <w:vAlign w:val="bottom"/>
              </w:tcPr>
              <w:p w14:paraId="0DB1CCEE" w14:textId="77777777" w:rsidR="005C04A5" w:rsidRPr="00333F3F" w:rsidRDefault="009829D4">
                <w:pPr>
                  <w:rPr>
                    <w:rFonts w:ascii="Verdana" w:eastAsia="Verdana" w:hAnsi="Verdana" w:cs="Verdana"/>
                    <w:color w:val="6D6F71"/>
                    <w:sz w:val="14"/>
                    <w:szCs w:val="14"/>
                    <w:lang w:val="en-US"/>
                  </w:rPr>
                </w:pPr>
                <w:r w:rsidRPr="00333F3F">
                  <w:rPr>
                    <w:rFonts w:ascii="Verdana" w:eastAsia="Verdana" w:hAnsi="Verdana" w:cs="Verdana"/>
                    <w:b/>
                    <w:color w:val="003399"/>
                    <w:sz w:val="13"/>
                    <w:szCs w:val="14"/>
                    <w:lang w:val="en-US"/>
                  </w:rPr>
                  <w:t>Address for visits and deliveries</w:t>
                </w:r>
                <w:r w:rsidRPr="00333F3F">
                  <w:rPr>
                    <w:rFonts w:ascii="Verdana" w:eastAsia="Verdana" w:hAnsi="Verdana" w:cs="Verdana"/>
                    <w:color w:val="6D6F71"/>
                    <w:sz w:val="14"/>
                    <w:szCs w:val="14"/>
                    <w:lang w:val="en-US"/>
                  </w:rPr>
                  <w:t xml:space="preserve">  Refer to </w:t>
                </w:r>
                <w:r w:rsidRPr="00333F3F">
                  <w:rPr>
                    <w:rFonts w:ascii="Verdana" w:eastAsia="Verdana" w:hAnsi="Verdana" w:cs="Verdana"/>
                    <w:color w:val="808080"/>
                    <w:sz w:val="14"/>
                    <w:szCs w:val="14"/>
                    <w:lang w:val="en-US"/>
                  </w:rPr>
                  <w:t xml:space="preserve">www.ema.europa.eu/how-to-find-us </w:t>
                </w:r>
              </w:p>
            </w:tc>
          </w:tr>
          <w:tr w:rsidR="00872AE0" w14:paraId="0DB1CCF2" w14:textId="77777777">
            <w:trPr>
              <w:trHeight w:hRule="exact" w:val="198"/>
            </w:trPr>
            <w:tc>
              <w:tcPr>
                <w:tcW w:w="4111" w:type="dxa"/>
                <w:vAlign w:val="bottom"/>
              </w:tcPr>
              <w:p w14:paraId="0DB1CCF0" w14:textId="77777777" w:rsidR="005C04A5" w:rsidRPr="00333F3F" w:rsidRDefault="009829D4">
                <w:pPr>
                  <w:rPr>
                    <w:rFonts w:ascii="Verdana" w:eastAsia="Verdana" w:hAnsi="Verdana" w:cs="Verdana"/>
                    <w:color w:val="6D6F71"/>
                    <w:sz w:val="14"/>
                    <w:szCs w:val="14"/>
                    <w:lang w:val="en-US"/>
                  </w:rPr>
                </w:pPr>
                <w:r w:rsidRPr="00333F3F">
                  <w:rPr>
                    <w:rFonts w:ascii="Verdana" w:eastAsia="Verdana" w:hAnsi="Verdana" w:cs="Verdana"/>
                    <w:b/>
                    <w:color w:val="003399"/>
                    <w:sz w:val="13"/>
                    <w:szCs w:val="14"/>
                    <w:lang w:val="en-US"/>
                  </w:rPr>
                  <w:t xml:space="preserve">Send us a question  </w:t>
                </w:r>
                <w:r w:rsidRPr="00333F3F">
                  <w:rPr>
                    <w:rFonts w:ascii="Verdana" w:eastAsia="Verdana" w:hAnsi="Verdana" w:cs="Verdana"/>
                    <w:color w:val="6D6F71"/>
                    <w:sz w:val="14"/>
                    <w:szCs w:val="14"/>
                    <w:lang w:val="en-US"/>
                  </w:rPr>
                  <w:t xml:space="preserve">Go to </w:t>
                </w:r>
                <w:r w:rsidRPr="00333F3F">
                  <w:rPr>
                    <w:rFonts w:ascii="Verdana" w:eastAsia="Verdana" w:hAnsi="Verdana" w:cs="Verdana"/>
                    <w:color w:val="808080"/>
                    <w:sz w:val="14"/>
                    <w:szCs w:val="14"/>
                    <w:lang w:val="en-US"/>
                  </w:rPr>
                  <w:t xml:space="preserve">www.ema.europa.eu/contact </w:t>
                </w:r>
              </w:p>
            </w:tc>
            <w:tc>
              <w:tcPr>
                <w:tcW w:w="2410" w:type="dxa"/>
                <w:vAlign w:val="bottom"/>
              </w:tcPr>
              <w:p w14:paraId="0DB1CCF1" w14:textId="77777777" w:rsidR="005C04A5" w:rsidRDefault="009829D4">
                <w:pPr>
                  <w:rPr>
                    <w:rFonts w:ascii="Verdana" w:eastAsia="Verdana" w:hAnsi="Verdana" w:cs="Verdana"/>
                    <w:b/>
                    <w:color w:val="003399"/>
                    <w:sz w:val="13"/>
                    <w:szCs w:val="14"/>
                  </w:rPr>
                </w:pPr>
                <w:r>
                  <w:rPr>
                    <w:rFonts w:ascii="Verdana" w:eastAsia="Verdana" w:hAnsi="Verdana" w:cs="Verdana"/>
                    <w:b/>
                    <w:color w:val="003399"/>
                    <w:sz w:val="13"/>
                    <w:szCs w:val="14"/>
                  </w:rPr>
                  <w:t>Telephone</w:t>
                </w:r>
                <w:r>
                  <w:rPr>
                    <w:rFonts w:ascii="Verdana" w:eastAsia="Verdana" w:hAnsi="Verdana" w:cs="Verdana"/>
                    <w:color w:val="6D6F71"/>
                    <w:sz w:val="14"/>
                    <w:szCs w:val="14"/>
                  </w:rPr>
                  <w:t xml:space="preserve"> +31 (0)88 781 6000</w:t>
                </w:r>
              </w:p>
            </w:tc>
          </w:tr>
        </w:tbl>
        <w:p w14:paraId="0DB1CCF3" w14:textId="77777777" w:rsidR="005C04A5" w:rsidRDefault="005C04A5">
          <w:pPr>
            <w:rPr>
              <w:rFonts w:ascii="Verdana" w:eastAsia="Verdana" w:hAnsi="Verdana" w:cs="Verdana"/>
              <w:color w:val="6D6F71"/>
              <w:sz w:val="14"/>
              <w:szCs w:val="14"/>
            </w:rPr>
          </w:pPr>
        </w:p>
      </w:tc>
      <w:tc>
        <w:tcPr>
          <w:tcW w:w="2892" w:type="dxa"/>
          <w:vMerge/>
          <w:tcMar>
            <w:left w:w="0" w:type="dxa"/>
            <w:right w:w="0" w:type="dxa"/>
          </w:tcMar>
          <w:vAlign w:val="bottom"/>
        </w:tcPr>
        <w:p w14:paraId="0DB1CCF4" w14:textId="77777777" w:rsidR="005C04A5" w:rsidRDefault="005C04A5">
          <w:pPr>
            <w:rPr>
              <w:rFonts w:ascii="Verdana" w:eastAsia="Verdana" w:hAnsi="Verdana" w:cs="Verdana"/>
              <w:color w:val="6D6F71"/>
              <w:sz w:val="14"/>
              <w:szCs w:val="14"/>
            </w:rPr>
          </w:pPr>
        </w:p>
      </w:tc>
    </w:tr>
    <w:tr w:rsidR="00872AE0" w14:paraId="0DB1CCF7" w14:textId="77777777">
      <w:tc>
        <w:tcPr>
          <w:tcW w:w="9413" w:type="dxa"/>
          <w:gridSpan w:val="2"/>
          <w:tcMar>
            <w:left w:w="0" w:type="dxa"/>
            <w:right w:w="0" w:type="dxa"/>
          </w:tcMar>
          <w:vAlign w:val="bottom"/>
        </w:tcPr>
        <w:p w14:paraId="0DB1CCF6" w14:textId="77777777" w:rsidR="005C04A5" w:rsidRDefault="005C04A5">
          <w:pPr>
            <w:rPr>
              <w:rFonts w:ascii="Verdana" w:eastAsia="Verdana" w:hAnsi="Verdana" w:cs="Verdana"/>
              <w:color w:val="6D6F71"/>
              <w:sz w:val="14"/>
              <w:szCs w:val="14"/>
            </w:rPr>
          </w:pPr>
        </w:p>
      </w:tc>
    </w:tr>
    <w:tr w:rsidR="00872AE0" w:rsidRPr="00F7654B" w14:paraId="0DB1CCF9" w14:textId="77777777">
      <w:tc>
        <w:tcPr>
          <w:tcW w:w="9413" w:type="dxa"/>
          <w:gridSpan w:val="2"/>
          <w:tcMar>
            <w:left w:w="0" w:type="dxa"/>
            <w:right w:w="0" w:type="dxa"/>
          </w:tcMar>
          <w:vAlign w:val="bottom"/>
        </w:tcPr>
        <w:p w14:paraId="0DB1CCF8" w14:textId="77777777" w:rsidR="005C04A5" w:rsidRPr="00333F3F" w:rsidRDefault="009829D4">
          <w:pPr>
            <w:jc w:val="center"/>
            <w:rPr>
              <w:rFonts w:ascii="Verdana" w:eastAsia="Verdana" w:hAnsi="Verdana" w:cs="Verdana"/>
              <w:color w:val="6D6F71"/>
              <w:sz w:val="14"/>
              <w:szCs w:val="14"/>
              <w:lang w:val="en-US"/>
            </w:rPr>
          </w:pPr>
          <w:r w:rsidRPr="00333F3F">
            <w:rPr>
              <w:rFonts w:ascii="Verdana" w:eastAsia="Verdana" w:hAnsi="Verdana" w:cs="Verdana"/>
              <w:color w:val="6D6F71"/>
              <w:sz w:val="14"/>
              <w:szCs w:val="14"/>
              <w:lang w:val="en-US"/>
            </w:rPr>
            <w:t xml:space="preserve">© European Medicines Agency, </w:t>
          </w:r>
          <w:r w:rsidR="00AE2DA1" w:rsidRPr="00333F3F">
            <w:rPr>
              <w:rFonts w:ascii="Verdana" w:eastAsia="Verdana" w:hAnsi="Verdana" w:cs="Verdana"/>
              <w:color w:val="6D6F71"/>
              <w:sz w:val="14"/>
              <w:szCs w:val="14"/>
              <w:lang w:val="en-US"/>
            </w:rPr>
            <w:t>202</w:t>
          </w:r>
          <w:r w:rsidR="00AB70F7" w:rsidRPr="00333F3F">
            <w:rPr>
              <w:rFonts w:ascii="Verdana" w:eastAsia="Verdana" w:hAnsi="Verdana" w:cs="Verdana"/>
              <w:color w:val="6D6F71"/>
              <w:sz w:val="14"/>
              <w:szCs w:val="14"/>
              <w:lang w:val="en-US"/>
            </w:rPr>
            <w:t>4</w:t>
          </w:r>
          <w:r w:rsidRPr="00333F3F">
            <w:rPr>
              <w:rFonts w:ascii="Verdana" w:eastAsia="Verdana" w:hAnsi="Verdana" w:cs="Verdana"/>
              <w:color w:val="6D6F71"/>
              <w:sz w:val="14"/>
              <w:szCs w:val="14"/>
              <w:lang w:val="en-US"/>
            </w:rPr>
            <w:t>. Reproduction is authorised provided the source is acknowledged.</w:t>
          </w:r>
        </w:p>
      </w:tc>
    </w:tr>
  </w:tbl>
  <w:p w14:paraId="0DB1CCFA" w14:textId="77777777" w:rsidR="005C04A5" w:rsidRPr="00333F3F" w:rsidRDefault="005C04A5" w:rsidP="005C04A5">
    <w:pPr>
      <w:pStyle w:val="FooterAgency"/>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04758" w14:textId="77777777" w:rsidR="001869B1" w:rsidRDefault="001869B1">
      <w:r>
        <w:separator/>
      </w:r>
    </w:p>
  </w:footnote>
  <w:footnote w:type="continuationSeparator" w:id="0">
    <w:p w14:paraId="319DAF40" w14:textId="77777777" w:rsidR="001869B1" w:rsidRDefault="0018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CCE2" w14:textId="77777777" w:rsidR="005C04A5" w:rsidRDefault="009829D4" w:rsidP="00B636AF">
    <w:pPr>
      <w:pStyle w:val="HeaderAgency"/>
      <w:jc w:val="center"/>
    </w:pPr>
    <w:r>
      <w:rPr>
        <w:noProof/>
      </w:rPr>
      <w:drawing>
        <wp:inline distT="0" distB="0" distL="0" distR="0" wp14:anchorId="0DB1CCFB" wp14:editId="0DB1CCFC">
          <wp:extent cx="3562350" cy="1800225"/>
          <wp:effectExtent l="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60596"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EE2C1C0"/>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5"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6" w15:restartNumberingAfterBreak="0">
    <w:nsid w:val="4A6D7BE3"/>
    <w:multiLevelType w:val="hybridMultilevel"/>
    <w:tmpl w:val="87286986"/>
    <w:lvl w:ilvl="0" w:tplc="1736B16A">
      <w:start w:val="1"/>
      <w:numFmt w:val="bullet"/>
      <w:lvlText w:val=""/>
      <w:lvlJc w:val="left"/>
      <w:pPr>
        <w:ind w:left="720" w:hanging="360"/>
      </w:pPr>
      <w:rPr>
        <w:rFonts w:ascii="Symbol" w:hAnsi="Symbol" w:hint="default"/>
      </w:rPr>
    </w:lvl>
    <w:lvl w:ilvl="1" w:tplc="E3A48D00">
      <w:start w:val="1"/>
      <w:numFmt w:val="bullet"/>
      <w:lvlText w:val="o"/>
      <w:lvlJc w:val="left"/>
      <w:pPr>
        <w:ind w:left="1440" w:hanging="360"/>
      </w:pPr>
      <w:rPr>
        <w:rFonts w:ascii="Courier New" w:hAnsi="Courier New" w:cs="Courier New" w:hint="default"/>
      </w:rPr>
    </w:lvl>
    <w:lvl w:ilvl="2" w:tplc="BCEC5BAC">
      <w:start w:val="1"/>
      <w:numFmt w:val="bullet"/>
      <w:lvlText w:val=""/>
      <w:lvlJc w:val="left"/>
      <w:pPr>
        <w:ind w:left="2160" w:hanging="360"/>
      </w:pPr>
      <w:rPr>
        <w:rFonts w:ascii="Wingdings" w:hAnsi="Wingdings" w:hint="default"/>
      </w:rPr>
    </w:lvl>
    <w:lvl w:ilvl="3" w:tplc="4058E360">
      <w:start w:val="1"/>
      <w:numFmt w:val="bullet"/>
      <w:lvlText w:val=""/>
      <w:lvlJc w:val="left"/>
      <w:pPr>
        <w:ind w:left="2880" w:hanging="360"/>
      </w:pPr>
      <w:rPr>
        <w:rFonts w:ascii="Symbol" w:hAnsi="Symbol" w:hint="default"/>
      </w:rPr>
    </w:lvl>
    <w:lvl w:ilvl="4" w:tplc="9CECADAE">
      <w:start w:val="1"/>
      <w:numFmt w:val="bullet"/>
      <w:lvlText w:val="o"/>
      <w:lvlJc w:val="left"/>
      <w:pPr>
        <w:ind w:left="3600" w:hanging="360"/>
      </w:pPr>
      <w:rPr>
        <w:rFonts w:ascii="Courier New" w:hAnsi="Courier New" w:cs="Courier New" w:hint="default"/>
      </w:rPr>
    </w:lvl>
    <w:lvl w:ilvl="5" w:tplc="925C5DC4">
      <w:start w:val="1"/>
      <w:numFmt w:val="bullet"/>
      <w:lvlText w:val=""/>
      <w:lvlJc w:val="left"/>
      <w:pPr>
        <w:ind w:left="4320" w:hanging="360"/>
      </w:pPr>
      <w:rPr>
        <w:rFonts w:ascii="Wingdings" w:hAnsi="Wingdings" w:hint="default"/>
      </w:rPr>
    </w:lvl>
    <w:lvl w:ilvl="6" w:tplc="8DB4D30C">
      <w:start w:val="1"/>
      <w:numFmt w:val="bullet"/>
      <w:lvlText w:val=""/>
      <w:lvlJc w:val="left"/>
      <w:pPr>
        <w:ind w:left="5040" w:hanging="360"/>
      </w:pPr>
      <w:rPr>
        <w:rFonts w:ascii="Symbol" w:hAnsi="Symbol" w:hint="default"/>
      </w:rPr>
    </w:lvl>
    <w:lvl w:ilvl="7" w:tplc="1ACAFDD8">
      <w:start w:val="1"/>
      <w:numFmt w:val="bullet"/>
      <w:lvlText w:val="o"/>
      <w:lvlJc w:val="left"/>
      <w:pPr>
        <w:ind w:left="5760" w:hanging="360"/>
      </w:pPr>
      <w:rPr>
        <w:rFonts w:ascii="Courier New" w:hAnsi="Courier New" w:cs="Courier New" w:hint="default"/>
      </w:rPr>
    </w:lvl>
    <w:lvl w:ilvl="8" w:tplc="F6E8C3B6">
      <w:start w:val="1"/>
      <w:numFmt w:val="bullet"/>
      <w:lvlText w:val=""/>
      <w:lvlJc w:val="left"/>
      <w:pPr>
        <w:ind w:left="6480" w:hanging="360"/>
      </w:pPr>
      <w:rPr>
        <w:rFonts w:ascii="Wingdings" w:hAnsi="Wingdings" w:hint="default"/>
      </w:rPr>
    </w:lvl>
  </w:abstractNum>
  <w:abstractNum w:abstractNumId="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num w:numId="1" w16cid:durableId="1120219491">
    <w:abstractNumId w:val="1"/>
  </w:num>
  <w:num w:numId="2" w16cid:durableId="864443425">
    <w:abstractNumId w:val="4"/>
  </w:num>
  <w:num w:numId="3" w16cid:durableId="2099981246">
    <w:abstractNumId w:val="3"/>
  </w:num>
  <w:num w:numId="4" w16cid:durableId="408886589">
    <w:abstractNumId w:val="2"/>
  </w:num>
  <w:num w:numId="5" w16cid:durableId="1725565043">
    <w:abstractNumId w:val="7"/>
  </w:num>
  <w:num w:numId="6" w16cid:durableId="786654715">
    <w:abstractNumId w:val="5"/>
  </w:num>
  <w:num w:numId="7" w16cid:durableId="636840599">
    <w:abstractNumId w:val="0"/>
  </w:num>
  <w:num w:numId="8" w16cid:durableId="1188561507">
    <w:abstractNumId w:val="7"/>
  </w:num>
  <w:num w:numId="9" w16cid:durableId="1787116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A872D4"/>
    <w:rsid w:val="000004F0"/>
    <w:rsid w:val="00001A72"/>
    <w:rsid w:val="00006A65"/>
    <w:rsid w:val="00006BE9"/>
    <w:rsid w:val="00007362"/>
    <w:rsid w:val="000137EF"/>
    <w:rsid w:val="00014C20"/>
    <w:rsid w:val="00015A27"/>
    <w:rsid w:val="00015B6C"/>
    <w:rsid w:val="0001787D"/>
    <w:rsid w:val="0002497A"/>
    <w:rsid w:val="000258C4"/>
    <w:rsid w:val="00027FC1"/>
    <w:rsid w:val="00034C7D"/>
    <w:rsid w:val="00034D76"/>
    <w:rsid w:val="00041293"/>
    <w:rsid w:val="000417CA"/>
    <w:rsid w:val="000434BD"/>
    <w:rsid w:val="0004472F"/>
    <w:rsid w:val="00045BBC"/>
    <w:rsid w:val="000461DF"/>
    <w:rsid w:val="00054F28"/>
    <w:rsid w:val="000573A8"/>
    <w:rsid w:val="00060136"/>
    <w:rsid w:val="000630B6"/>
    <w:rsid w:val="00065BBE"/>
    <w:rsid w:val="000667B8"/>
    <w:rsid w:val="0006691F"/>
    <w:rsid w:val="00070471"/>
    <w:rsid w:val="00080A10"/>
    <w:rsid w:val="00081A3E"/>
    <w:rsid w:val="00085A04"/>
    <w:rsid w:val="00086C6D"/>
    <w:rsid w:val="00087732"/>
    <w:rsid w:val="00087F19"/>
    <w:rsid w:val="000911E7"/>
    <w:rsid w:val="000925F6"/>
    <w:rsid w:val="00095ED0"/>
    <w:rsid w:val="000964F5"/>
    <w:rsid w:val="000966E2"/>
    <w:rsid w:val="0009708C"/>
    <w:rsid w:val="000B13FC"/>
    <w:rsid w:val="000B1CCC"/>
    <w:rsid w:val="000B48FF"/>
    <w:rsid w:val="000B7EE2"/>
    <w:rsid w:val="000C290B"/>
    <w:rsid w:val="000C3D04"/>
    <w:rsid w:val="000C5C29"/>
    <w:rsid w:val="000C61C7"/>
    <w:rsid w:val="000D2735"/>
    <w:rsid w:val="000D312B"/>
    <w:rsid w:val="000D4E31"/>
    <w:rsid w:val="000D55D8"/>
    <w:rsid w:val="000D6DAF"/>
    <w:rsid w:val="000E1DCC"/>
    <w:rsid w:val="000E2DF5"/>
    <w:rsid w:val="000E440D"/>
    <w:rsid w:val="000E5AFE"/>
    <w:rsid w:val="000F29E0"/>
    <w:rsid w:val="000F30D1"/>
    <w:rsid w:val="000F4FF5"/>
    <w:rsid w:val="000F5370"/>
    <w:rsid w:val="000F7D69"/>
    <w:rsid w:val="0010021B"/>
    <w:rsid w:val="001032D3"/>
    <w:rsid w:val="0010550B"/>
    <w:rsid w:val="00107593"/>
    <w:rsid w:val="00110BAC"/>
    <w:rsid w:val="001114E5"/>
    <w:rsid w:val="00111AA3"/>
    <w:rsid w:val="00114237"/>
    <w:rsid w:val="00121F63"/>
    <w:rsid w:val="00122C28"/>
    <w:rsid w:val="00124AD3"/>
    <w:rsid w:val="001254D9"/>
    <w:rsid w:val="00127175"/>
    <w:rsid w:val="0012797F"/>
    <w:rsid w:val="00132845"/>
    <w:rsid w:val="00135BC0"/>
    <w:rsid w:val="00137B2D"/>
    <w:rsid w:val="00142EF8"/>
    <w:rsid w:val="00144208"/>
    <w:rsid w:val="001443BB"/>
    <w:rsid w:val="00145C4C"/>
    <w:rsid w:val="001462D1"/>
    <w:rsid w:val="001503FB"/>
    <w:rsid w:val="001522D3"/>
    <w:rsid w:val="001530EC"/>
    <w:rsid w:val="00153F22"/>
    <w:rsid w:val="00161C0F"/>
    <w:rsid w:val="00162A71"/>
    <w:rsid w:val="00165EEE"/>
    <w:rsid w:val="00166E32"/>
    <w:rsid w:val="001703A8"/>
    <w:rsid w:val="001711DA"/>
    <w:rsid w:val="00171291"/>
    <w:rsid w:val="001715B2"/>
    <w:rsid w:val="00172652"/>
    <w:rsid w:val="00172E42"/>
    <w:rsid w:val="00174F37"/>
    <w:rsid w:val="00175AFE"/>
    <w:rsid w:val="0017699A"/>
    <w:rsid w:val="001856FF"/>
    <w:rsid w:val="001869B1"/>
    <w:rsid w:val="00186CB6"/>
    <w:rsid w:val="00187CE7"/>
    <w:rsid w:val="00187CF2"/>
    <w:rsid w:val="00190B98"/>
    <w:rsid w:val="00195217"/>
    <w:rsid w:val="001A4552"/>
    <w:rsid w:val="001A4664"/>
    <w:rsid w:val="001B033B"/>
    <w:rsid w:val="001B19EA"/>
    <w:rsid w:val="001B3086"/>
    <w:rsid w:val="001B55D8"/>
    <w:rsid w:val="001C3700"/>
    <w:rsid w:val="001C4ECF"/>
    <w:rsid w:val="001C598F"/>
    <w:rsid w:val="001C74D6"/>
    <w:rsid w:val="001D0875"/>
    <w:rsid w:val="001D0CAF"/>
    <w:rsid w:val="001D1343"/>
    <w:rsid w:val="001D19C3"/>
    <w:rsid w:val="001D5CA1"/>
    <w:rsid w:val="001D742D"/>
    <w:rsid w:val="001D7465"/>
    <w:rsid w:val="001E313F"/>
    <w:rsid w:val="001E4ED4"/>
    <w:rsid w:val="001E736A"/>
    <w:rsid w:val="001F01BC"/>
    <w:rsid w:val="001F1500"/>
    <w:rsid w:val="001F28C1"/>
    <w:rsid w:val="001F678E"/>
    <w:rsid w:val="001F6C21"/>
    <w:rsid w:val="00202B2C"/>
    <w:rsid w:val="00205CC0"/>
    <w:rsid w:val="00206017"/>
    <w:rsid w:val="00207C64"/>
    <w:rsid w:val="00210758"/>
    <w:rsid w:val="0021571D"/>
    <w:rsid w:val="00221A64"/>
    <w:rsid w:val="00221B07"/>
    <w:rsid w:val="0022453D"/>
    <w:rsid w:val="00226FC5"/>
    <w:rsid w:val="0023409C"/>
    <w:rsid w:val="002345E3"/>
    <w:rsid w:val="00235160"/>
    <w:rsid w:val="00236066"/>
    <w:rsid w:val="00236984"/>
    <w:rsid w:val="0024073A"/>
    <w:rsid w:val="002425B9"/>
    <w:rsid w:val="00243C8D"/>
    <w:rsid w:val="00244AC6"/>
    <w:rsid w:val="00245798"/>
    <w:rsid w:val="0025385F"/>
    <w:rsid w:val="00254317"/>
    <w:rsid w:val="0025490F"/>
    <w:rsid w:val="00255252"/>
    <w:rsid w:val="00255EE4"/>
    <w:rsid w:val="00257897"/>
    <w:rsid w:val="00261EA0"/>
    <w:rsid w:val="002642A0"/>
    <w:rsid w:val="00267C9F"/>
    <w:rsid w:val="002708E8"/>
    <w:rsid w:val="00271C09"/>
    <w:rsid w:val="00273A65"/>
    <w:rsid w:val="0028187A"/>
    <w:rsid w:val="00281D27"/>
    <w:rsid w:val="00281DE1"/>
    <w:rsid w:val="002847BA"/>
    <w:rsid w:val="002903BF"/>
    <w:rsid w:val="00290477"/>
    <w:rsid w:val="0029114A"/>
    <w:rsid w:val="00297CAD"/>
    <w:rsid w:val="002A08F0"/>
    <w:rsid w:val="002A35ED"/>
    <w:rsid w:val="002A5270"/>
    <w:rsid w:val="002A7794"/>
    <w:rsid w:val="002B06B0"/>
    <w:rsid w:val="002B0CF6"/>
    <w:rsid w:val="002B15CD"/>
    <w:rsid w:val="002B2A72"/>
    <w:rsid w:val="002B2EC3"/>
    <w:rsid w:val="002B3053"/>
    <w:rsid w:val="002B5853"/>
    <w:rsid w:val="002B7B4B"/>
    <w:rsid w:val="002C0FEB"/>
    <w:rsid w:val="002C164D"/>
    <w:rsid w:val="002C3786"/>
    <w:rsid w:val="002C42D0"/>
    <w:rsid w:val="002C5B12"/>
    <w:rsid w:val="002D0D33"/>
    <w:rsid w:val="002D5A4B"/>
    <w:rsid w:val="002D6CCD"/>
    <w:rsid w:val="002D7502"/>
    <w:rsid w:val="002E0467"/>
    <w:rsid w:val="002E6645"/>
    <w:rsid w:val="002E6AD5"/>
    <w:rsid w:val="002E7ADC"/>
    <w:rsid w:val="002F417D"/>
    <w:rsid w:val="002F4879"/>
    <w:rsid w:val="002F5311"/>
    <w:rsid w:val="002F605E"/>
    <w:rsid w:val="002F688A"/>
    <w:rsid w:val="00303C07"/>
    <w:rsid w:val="00315B7D"/>
    <w:rsid w:val="00317857"/>
    <w:rsid w:val="0032022C"/>
    <w:rsid w:val="003216B6"/>
    <w:rsid w:val="00321DB2"/>
    <w:rsid w:val="00325DC0"/>
    <w:rsid w:val="00326266"/>
    <w:rsid w:val="0033146E"/>
    <w:rsid w:val="00331B16"/>
    <w:rsid w:val="003324DD"/>
    <w:rsid w:val="00333F3F"/>
    <w:rsid w:val="00340F7E"/>
    <w:rsid w:val="00343070"/>
    <w:rsid w:val="003438DC"/>
    <w:rsid w:val="0034400B"/>
    <w:rsid w:val="00344895"/>
    <w:rsid w:val="00345C0E"/>
    <w:rsid w:val="00345D6E"/>
    <w:rsid w:val="00352EBE"/>
    <w:rsid w:val="00356BC6"/>
    <w:rsid w:val="00361069"/>
    <w:rsid w:val="00363356"/>
    <w:rsid w:val="00364F80"/>
    <w:rsid w:val="00371200"/>
    <w:rsid w:val="00371986"/>
    <w:rsid w:val="003735A5"/>
    <w:rsid w:val="003752FD"/>
    <w:rsid w:val="0037572B"/>
    <w:rsid w:val="003830A3"/>
    <w:rsid w:val="00385855"/>
    <w:rsid w:val="00391DDC"/>
    <w:rsid w:val="00392269"/>
    <w:rsid w:val="0039287D"/>
    <w:rsid w:val="00395133"/>
    <w:rsid w:val="003960DB"/>
    <w:rsid w:val="00396463"/>
    <w:rsid w:val="003A6DF1"/>
    <w:rsid w:val="003A70B2"/>
    <w:rsid w:val="003A7E95"/>
    <w:rsid w:val="003B185A"/>
    <w:rsid w:val="003B2642"/>
    <w:rsid w:val="003B5F0C"/>
    <w:rsid w:val="003C1473"/>
    <w:rsid w:val="003C343C"/>
    <w:rsid w:val="003D1CC6"/>
    <w:rsid w:val="003D2280"/>
    <w:rsid w:val="003D24BE"/>
    <w:rsid w:val="003D3DAE"/>
    <w:rsid w:val="003D5D68"/>
    <w:rsid w:val="003D71FB"/>
    <w:rsid w:val="003E1AEE"/>
    <w:rsid w:val="003F18A7"/>
    <w:rsid w:val="003F6752"/>
    <w:rsid w:val="00411700"/>
    <w:rsid w:val="00412345"/>
    <w:rsid w:val="00413E85"/>
    <w:rsid w:val="004200E5"/>
    <w:rsid w:val="00420842"/>
    <w:rsid w:val="00421CF0"/>
    <w:rsid w:val="004228EF"/>
    <w:rsid w:val="004253C8"/>
    <w:rsid w:val="004261EA"/>
    <w:rsid w:val="004269CE"/>
    <w:rsid w:val="004303A9"/>
    <w:rsid w:val="00433DD4"/>
    <w:rsid w:val="0043722B"/>
    <w:rsid w:val="00440CB0"/>
    <w:rsid w:val="004421C1"/>
    <w:rsid w:val="00443B25"/>
    <w:rsid w:val="004442BC"/>
    <w:rsid w:val="00444609"/>
    <w:rsid w:val="004453D7"/>
    <w:rsid w:val="00446C89"/>
    <w:rsid w:val="00451B8D"/>
    <w:rsid w:val="00462697"/>
    <w:rsid w:val="00462FA5"/>
    <w:rsid w:val="00463B43"/>
    <w:rsid w:val="00464E7D"/>
    <w:rsid w:val="004724AA"/>
    <w:rsid w:val="004733DA"/>
    <w:rsid w:val="004817B1"/>
    <w:rsid w:val="0048381D"/>
    <w:rsid w:val="0048434A"/>
    <w:rsid w:val="00484479"/>
    <w:rsid w:val="00486D17"/>
    <w:rsid w:val="00487D93"/>
    <w:rsid w:val="004901DA"/>
    <w:rsid w:val="00490621"/>
    <w:rsid w:val="0049243F"/>
    <w:rsid w:val="0049662E"/>
    <w:rsid w:val="00497DAC"/>
    <w:rsid w:val="004A018D"/>
    <w:rsid w:val="004A1674"/>
    <w:rsid w:val="004B1547"/>
    <w:rsid w:val="004C195A"/>
    <w:rsid w:val="004C1D5E"/>
    <w:rsid w:val="004C21F9"/>
    <w:rsid w:val="004C2F2D"/>
    <w:rsid w:val="004C3C9F"/>
    <w:rsid w:val="004C495D"/>
    <w:rsid w:val="004D0272"/>
    <w:rsid w:val="004D4CB8"/>
    <w:rsid w:val="004E1076"/>
    <w:rsid w:val="004E3091"/>
    <w:rsid w:val="004F435A"/>
    <w:rsid w:val="004F5A00"/>
    <w:rsid w:val="00500FE1"/>
    <w:rsid w:val="005015A0"/>
    <w:rsid w:val="0050434A"/>
    <w:rsid w:val="005124A0"/>
    <w:rsid w:val="0051281A"/>
    <w:rsid w:val="00512F9C"/>
    <w:rsid w:val="00514025"/>
    <w:rsid w:val="00514A44"/>
    <w:rsid w:val="00517C89"/>
    <w:rsid w:val="005235F7"/>
    <w:rsid w:val="005258EA"/>
    <w:rsid w:val="00527E47"/>
    <w:rsid w:val="00544AF5"/>
    <w:rsid w:val="00546108"/>
    <w:rsid w:val="00547B66"/>
    <w:rsid w:val="00552738"/>
    <w:rsid w:val="005545C4"/>
    <w:rsid w:val="00554A07"/>
    <w:rsid w:val="0055637C"/>
    <w:rsid w:val="00564B47"/>
    <w:rsid w:val="00570E67"/>
    <w:rsid w:val="00574E06"/>
    <w:rsid w:val="00576BDD"/>
    <w:rsid w:val="00581219"/>
    <w:rsid w:val="005837A4"/>
    <w:rsid w:val="0058521E"/>
    <w:rsid w:val="00585874"/>
    <w:rsid w:val="00590E54"/>
    <w:rsid w:val="005936D5"/>
    <w:rsid w:val="00595093"/>
    <w:rsid w:val="0059521F"/>
    <w:rsid w:val="0059549F"/>
    <w:rsid w:val="005A16DF"/>
    <w:rsid w:val="005A3A10"/>
    <w:rsid w:val="005A55A9"/>
    <w:rsid w:val="005A60C9"/>
    <w:rsid w:val="005A79E2"/>
    <w:rsid w:val="005B327E"/>
    <w:rsid w:val="005B34A9"/>
    <w:rsid w:val="005B6350"/>
    <w:rsid w:val="005B6B08"/>
    <w:rsid w:val="005B6C5B"/>
    <w:rsid w:val="005B709A"/>
    <w:rsid w:val="005C04A5"/>
    <w:rsid w:val="005C5198"/>
    <w:rsid w:val="005C7841"/>
    <w:rsid w:val="005D0CE2"/>
    <w:rsid w:val="005D3FBB"/>
    <w:rsid w:val="005E2AEA"/>
    <w:rsid w:val="005E30A1"/>
    <w:rsid w:val="005E3908"/>
    <w:rsid w:val="005E6E6F"/>
    <w:rsid w:val="005E76C4"/>
    <w:rsid w:val="005F008B"/>
    <w:rsid w:val="005F06FE"/>
    <w:rsid w:val="005F42C0"/>
    <w:rsid w:val="005F7CBF"/>
    <w:rsid w:val="0060354F"/>
    <w:rsid w:val="00603D11"/>
    <w:rsid w:val="00604BFC"/>
    <w:rsid w:val="00606B64"/>
    <w:rsid w:val="00607BDB"/>
    <w:rsid w:val="00607F50"/>
    <w:rsid w:val="0061072E"/>
    <w:rsid w:val="00615117"/>
    <w:rsid w:val="0061613A"/>
    <w:rsid w:val="0061640F"/>
    <w:rsid w:val="006207EE"/>
    <w:rsid w:val="0062102A"/>
    <w:rsid w:val="00621474"/>
    <w:rsid w:val="00624140"/>
    <w:rsid w:val="0063091E"/>
    <w:rsid w:val="0063154D"/>
    <w:rsid w:val="0063181B"/>
    <w:rsid w:val="0063205A"/>
    <w:rsid w:val="00636806"/>
    <w:rsid w:val="00641E2D"/>
    <w:rsid w:val="00642875"/>
    <w:rsid w:val="00651C62"/>
    <w:rsid w:val="006525A3"/>
    <w:rsid w:val="006540DA"/>
    <w:rsid w:val="00656DDD"/>
    <w:rsid w:val="0066063C"/>
    <w:rsid w:val="0066134D"/>
    <w:rsid w:val="00661BC0"/>
    <w:rsid w:val="0066479C"/>
    <w:rsid w:val="006653C8"/>
    <w:rsid w:val="00667FAA"/>
    <w:rsid w:val="00672598"/>
    <w:rsid w:val="00673028"/>
    <w:rsid w:val="006943B7"/>
    <w:rsid w:val="00694FE3"/>
    <w:rsid w:val="006A0105"/>
    <w:rsid w:val="006A0CF2"/>
    <w:rsid w:val="006A3F3E"/>
    <w:rsid w:val="006B1DF7"/>
    <w:rsid w:val="006B2CC7"/>
    <w:rsid w:val="006B3916"/>
    <w:rsid w:val="006B5330"/>
    <w:rsid w:val="006B6804"/>
    <w:rsid w:val="006C1182"/>
    <w:rsid w:val="006C3517"/>
    <w:rsid w:val="006C3DA6"/>
    <w:rsid w:val="006C4A18"/>
    <w:rsid w:val="006C529E"/>
    <w:rsid w:val="006C7F5A"/>
    <w:rsid w:val="006D0B7F"/>
    <w:rsid w:val="006D103F"/>
    <w:rsid w:val="006D10AC"/>
    <w:rsid w:val="006D1559"/>
    <w:rsid w:val="006D4495"/>
    <w:rsid w:val="006D6454"/>
    <w:rsid w:val="006D6DAD"/>
    <w:rsid w:val="006E056D"/>
    <w:rsid w:val="006E07D6"/>
    <w:rsid w:val="006E23F0"/>
    <w:rsid w:val="006E5786"/>
    <w:rsid w:val="006F0D0D"/>
    <w:rsid w:val="006F1EDB"/>
    <w:rsid w:val="006F6040"/>
    <w:rsid w:val="006F61D2"/>
    <w:rsid w:val="00701A61"/>
    <w:rsid w:val="00701BD3"/>
    <w:rsid w:val="00702FF8"/>
    <w:rsid w:val="007032EC"/>
    <w:rsid w:val="00703618"/>
    <w:rsid w:val="00703CB4"/>
    <w:rsid w:val="00704608"/>
    <w:rsid w:val="00704B4A"/>
    <w:rsid w:val="00707193"/>
    <w:rsid w:val="007108B2"/>
    <w:rsid w:val="007130FA"/>
    <w:rsid w:val="007208CE"/>
    <w:rsid w:val="00727FB2"/>
    <w:rsid w:val="0073182D"/>
    <w:rsid w:val="00731E9E"/>
    <w:rsid w:val="00733088"/>
    <w:rsid w:val="00733487"/>
    <w:rsid w:val="007338C8"/>
    <w:rsid w:val="00733DA2"/>
    <w:rsid w:val="0073721F"/>
    <w:rsid w:val="00742EB5"/>
    <w:rsid w:val="00743D73"/>
    <w:rsid w:val="00745734"/>
    <w:rsid w:val="00747B5D"/>
    <w:rsid w:val="00751DAD"/>
    <w:rsid w:val="007606CD"/>
    <w:rsid w:val="00761714"/>
    <w:rsid w:val="00762FCF"/>
    <w:rsid w:val="007720BD"/>
    <w:rsid w:val="0077241A"/>
    <w:rsid w:val="007744A7"/>
    <w:rsid w:val="00774617"/>
    <w:rsid w:val="00780165"/>
    <w:rsid w:val="0078208F"/>
    <w:rsid w:val="00784282"/>
    <w:rsid w:val="00787D6D"/>
    <w:rsid w:val="007908E7"/>
    <w:rsid w:val="00791277"/>
    <w:rsid w:val="00791E24"/>
    <w:rsid w:val="00796BF6"/>
    <w:rsid w:val="007A2294"/>
    <w:rsid w:val="007A2DA4"/>
    <w:rsid w:val="007A6062"/>
    <w:rsid w:val="007A67E8"/>
    <w:rsid w:val="007A6B96"/>
    <w:rsid w:val="007A71FE"/>
    <w:rsid w:val="007A7443"/>
    <w:rsid w:val="007B3483"/>
    <w:rsid w:val="007B36F9"/>
    <w:rsid w:val="007B432E"/>
    <w:rsid w:val="007B6532"/>
    <w:rsid w:val="007B7912"/>
    <w:rsid w:val="007B7C53"/>
    <w:rsid w:val="007C0FBD"/>
    <w:rsid w:val="007C20D8"/>
    <w:rsid w:val="007C2A34"/>
    <w:rsid w:val="007C51F3"/>
    <w:rsid w:val="007C5A00"/>
    <w:rsid w:val="007C7A16"/>
    <w:rsid w:val="007D0369"/>
    <w:rsid w:val="007D2319"/>
    <w:rsid w:val="007D2D11"/>
    <w:rsid w:val="007D640D"/>
    <w:rsid w:val="007D7587"/>
    <w:rsid w:val="007E038C"/>
    <w:rsid w:val="007E231B"/>
    <w:rsid w:val="007E5D9B"/>
    <w:rsid w:val="007E6084"/>
    <w:rsid w:val="007E6FCE"/>
    <w:rsid w:val="007F0C5E"/>
    <w:rsid w:val="007F2607"/>
    <w:rsid w:val="007F477B"/>
    <w:rsid w:val="007F4CA9"/>
    <w:rsid w:val="007F7BBE"/>
    <w:rsid w:val="00801232"/>
    <w:rsid w:val="00803CCE"/>
    <w:rsid w:val="00803E5E"/>
    <w:rsid w:val="00804AE4"/>
    <w:rsid w:val="008064B3"/>
    <w:rsid w:val="0081065D"/>
    <w:rsid w:val="008118AF"/>
    <w:rsid w:val="00811EA0"/>
    <w:rsid w:val="00813BFA"/>
    <w:rsid w:val="008173D7"/>
    <w:rsid w:val="00817D28"/>
    <w:rsid w:val="00820E72"/>
    <w:rsid w:val="00823607"/>
    <w:rsid w:val="00825C24"/>
    <w:rsid w:val="00830070"/>
    <w:rsid w:val="00832E80"/>
    <w:rsid w:val="00835590"/>
    <w:rsid w:val="00835C03"/>
    <w:rsid w:val="00836039"/>
    <w:rsid w:val="00847988"/>
    <w:rsid w:val="008533DD"/>
    <w:rsid w:val="00856E19"/>
    <w:rsid w:val="00856FBA"/>
    <w:rsid w:val="00857982"/>
    <w:rsid w:val="00857DD4"/>
    <w:rsid w:val="00861B57"/>
    <w:rsid w:val="00862E8D"/>
    <w:rsid w:val="0087139E"/>
    <w:rsid w:val="008729EC"/>
    <w:rsid w:val="00872AE0"/>
    <w:rsid w:val="00874F62"/>
    <w:rsid w:val="00877A3E"/>
    <w:rsid w:val="00885579"/>
    <w:rsid w:val="00885F0B"/>
    <w:rsid w:val="00886965"/>
    <w:rsid w:val="0089387C"/>
    <w:rsid w:val="008A3F95"/>
    <w:rsid w:val="008B17E1"/>
    <w:rsid w:val="008B3F19"/>
    <w:rsid w:val="008B4892"/>
    <w:rsid w:val="008C6C71"/>
    <w:rsid w:val="008D0BED"/>
    <w:rsid w:val="008D112F"/>
    <w:rsid w:val="008D50D1"/>
    <w:rsid w:val="008D5A8C"/>
    <w:rsid w:val="008D6560"/>
    <w:rsid w:val="008E254D"/>
    <w:rsid w:val="008E2911"/>
    <w:rsid w:val="008E358A"/>
    <w:rsid w:val="008E4715"/>
    <w:rsid w:val="008E4A53"/>
    <w:rsid w:val="008E5DED"/>
    <w:rsid w:val="008E72E5"/>
    <w:rsid w:val="008F4703"/>
    <w:rsid w:val="008F7B03"/>
    <w:rsid w:val="00901975"/>
    <w:rsid w:val="00906D94"/>
    <w:rsid w:val="00906E37"/>
    <w:rsid w:val="00906EB3"/>
    <w:rsid w:val="009114A6"/>
    <w:rsid w:val="00915210"/>
    <w:rsid w:val="009174AF"/>
    <w:rsid w:val="00920A92"/>
    <w:rsid w:val="00921AD6"/>
    <w:rsid w:val="00923BCD"/>
    <w:rsid w:val="00924818"/>
    <w:rsid w:val="00925A46"/>
    <w:rsid w:val="0093163B"/>
    <w:rsid w:val="0093376B"/>
    <w:rsid w:val="00934502"/>
    <w:rsid w:val="009349AA"/>
    <w:rsid w:val="00936869"/>
    <w:rsid w:val="00936C4F"/>
    <w:rsid w:val="0094767E"/>
    <w:rsid w:val="00955055"/>
    <w:rsid w:val="00957AE8"/>
    <w:rsid w:val="00957FAF"/>
    <w:rsid w:val="00960808"/>
    <w:rsid w:val="00961133"/>
    <w:rsid w:val="009638A4"/>
    <w:rsid w:val="00964C04"/>
    <w:rsid w:val="009663A3"/>
    <w:rsid w:val="00966FCF"/>
    <w:rsid w:val="0097491A"/>
    <w:rsid w:val="009758B4"/>
    <w:rsid w:val="00975E52"/>
    <w:rsid w:val="00977804"/>
    <w:rsid w:val="0098049A"/>
    <w:rsid w:val="00981329"/>
    <w:rsid w:val="009829D4"/>
    <w:rsid w:val="00982ABA"/>
    <w:rsid w:val="00986272"/>
    <w:rsid w:val="00987AB0"/>
    <w:rsid w:val="0099000A"/>
    <w:rsid w:val="009900C6"/>
    <w:rsid w:val="00991DF2"/>
    <w:rsid w:val="009926D7"/>
    <w:rsid w:val="00993633"/>
    <w:rsid w:val="00994924"/>
    <w:rsid w:val="00994CF8"/>
    <w:rsid w:val="009A08C2"/>
    <w:rsid w:val="009A4227"/>
    <w:rsid w:val="009A4BA4"/>
    <w:rsid w:val="009A6F13"/>
    <w:rsid w:val="009B1A8A"/>
    <w:rsid w:val="009B322E"/>
    <w:rsid w:val="009B38DF"/>
    <w:rsid w:val="009C2214"/>
    <w:rsid w:val="009C3E86"/>
    <w:rsid w:val="009C4748"/>
    <w:rsid w:val="009C6201"/>
    <w:rsid w:val="009C6E7A"/>
    <w:rsid w:val="009D020F"/>
    <w:rsid w:val="009D26B9"/>
    <w:rsid w:val="009D3A02"/>
    <w:rsid w:val="009D7F29"/>
    <w:rsid w:val="009E1769"/>
    <w:rsid w:val="009E2446"/>
    <w:rsid w:val="009E6433"/>
    <w:rsid w:val="009F1760"/>
    <w:rsid w:val="009F3052"/>
    <w:rsid w:val="009F3A94"/>
    <w:rsid w:val="009F45A2"/>
    <w:rsid w:val="00A03A68"/>
    <w:rsid w:val="00A05BD3"/>
    <w:rsid w:val="00A115E2"/>
    <w:rsid w:val="00A134C7"/>
    <w:rsid w:val="00A20016"/>
    <w:rsid w:val="00A225B5"/>
    <w:rsid w:val="00A262F3"/>
    <w:rsid w:val="00A27CAB"/>
    <w:rsid w:val="00A30B18"/>
    <w:rsid w:val="00A318CD"/>
    <w:rsid w:val="00A32DE8"/>
    <w:rsid w:val="00A36DE2"/>
    <w:rsid w:val="00A37729"/>
    <w:rsid w:val="00A37BEA"/>
    <w:rsid w:val="00A41A41"/>
    <w:rsid w:val="00A44B87"/>
    <w:rsid w:val="00A50A89"/>
    <w:rsid w:val="00A6000B"/>
    <w:rsid w:val="00A61B42"/>
    <w:rsid w:val="00A70CBB"/>
    <w:rsid w:val="00A71EBE"/>
    <w:rsid w:val="00A75968"/>
    <w:rsid w:val="00A76BC8"/>
    <w:rsid w:val="00A8111E"/>
    <w:rsid w:val="00A8485E"/>
    <w:rsid w:val="00A872D4"/>
    <w:rsid w:val="00A878D6"/>
    <w:rsid w:val="00A87FEB"/>
    <w:rsid w:val="00A9103B"/>
    <w:rsid w:val="00A91AA0"/>
    <w:rsid w:val="00A921F3"/>
    <w:rsid w:val="00A93E7B"/>
    <w:rsid w:val="00A96B36"/>
    <w:rsid w:val="00AA0FBC"/>
    <w:rsid w:val="00AA3E61"/>
    <w:rsid w:val="00AA52CB"/>
    <w:rsid w:val="00AB5BF6"/>
    <w:rsid w:val="00AB70F7"/>
    <w:rsid w:val="00AC1602"/>
    <w:rsid w:val="00AC4E12"/>
    <w:rsid w:val="00AC5A93"/>
    <w:rsid w:val="00AC77F2"/>
    <w:rsid w:val="00AD0217"/>
    <w:rsid w:val="00AD7544"/>
    <w:rsid w:val="00AD76D9"/>
    <w:rsid w:val="00AE04D7"/>
    <w:rsid w:val="00AE28B9"/>
    <w:rsid w:val="00AE2DA1"/>
    <w:rsid w:val="00AE3BF2"/>
    <w:rsid w:val="00AE65B7"/>
    <w:rsid w:val="00AE7624"/>
    <w:rsid w:val="00AF1D17"/>
    <w:rsid w:val="00AF2B6F"/>
    <w:rsid w:val="00AF35E8"/>
    <w:rsid w:val="00AF38EA"/>
    <w:rsid w:val="00AF5D31"/>
    <w:rsid w:val="00B029ED"/>
    <w:rsid w:val="00B03319"/>
    <w:rsid w:val="00B052E1"/>
    <w:rsid w:val="00B071E2"/>
    <w:rsid w:val="00B074D2"/>
    <w:rsid w:val="00B146B5"/>
    <w:rsid w:val="00B320D7"/>
    <w:rsid w:val="00B321B3"/>
    <w:rsid w:val="00B35483"/>
    <w:rsid w:val="00B405D2"/>
    <w:rsid w:val="00B5002C"/>
    <w:rsid w:val="00B533CB"/>
    <w:rsid w:val="00B54875"/>
    <w:rsid w:val="00B56E4D"/>
    <w:rsid w:val="00B62CFA"/>
    <w:rsid w:val="00B636AF"/>
    <w:rsid w:val="00B63D36"/>
    <w:rsid w:val="00B64DB2"/>
    <w:rsid w:val="00B77572"/>
    <w:rsid w:val="00B814DA"/>
    <w:rsid w:val="00B848F9"/>
    <w:rsid w:val="00B91AA1"/>
    <w:rsid w:val="00B9253D"/>
    <w:rsid w:val="00B926BE"/>
    <w:rsid w:val="00B92DB8"/>
    <w:rsid w:val="00B9592F"/>
    <w:rsid w:val="00B96F9A"/>
    <w:rsid w:val="00BA0005"/>
    <w:rsid w:val="00BA0565"/>
    <w:rsid w:val="00BA27E1"/>
    <w:rsid w:val="00BA3512"/>
    <w:rsid w:val="00BA4CDA"/>
    <w:rsid w:val="00BB17AE"/>
    <w:rsid w:val="00BC0BE3"/>
    <w:rsid w:val="00BC38D2"/>
    <w:rsid w:val="00BC4EC5"/>
    <w:rsid w:val="00BC76DC"/>
    <w:rsid w:val="00BD14BA"/>
    <w:rsid w:val="00BD48F4"/>
    <w:rsid w:val="00BD7773"/>
    <w:rsid w:val="00BD7A15"/>
    <w:rsid w:val="00BD7EF2"/>
    <w:rsid w:val="00BE032C"/>
    <w:rsid w:val="00BE03C7"/>
    <w:rsid w:val="00BE245F"/>
    <w:rsid w:val="00BF112F"/>
    <w:rsid w:val="00BF2D7E"/>
    <w:rsid w:val="00BF34EB"/>
    <w:rsid w:val="00BF6201"/>
    <w:rsid w:val="00C101F5"/>
    <w:rsid w:val="00C136E8"/>
    <w:rsid w:val="00C14A3B"/>
    <w:rsid w:val="00C217B1"/>
    <w:rsid w:val="00C2312D"/>
    <w:rsid w:val="00C25FE0"/>
    <w:rsid w:val="00C26BC2"/>
    <w:rsid w:val="00C312F2"/>
    <w:rsid w:val="00C33572"/>
    <w:rsid w:val="00C349A2"/>
    <w:rsid w:val="00C34E2D"/>
    <w:rsid w:val="00C41803"/>
    <w:rsid w:val="00C4228B"/>
    <w:rsid w:val="00C46817"/>
    <w:rsid w:val="00C47EBD"/>
    <w:rsid w:val="00C51680"/>
    <w:rsid w:val="00C52F0B"/>
    <w:rsid w:val="00C535AE"/>
    <w:rsid w:val="00C605E6"/>
    <w:rsid w:val="00C649AE"/>
    <w:rsid w:val="00C65CA5"/>
    <w:rsid w:val="00C71672"/>
    <w:rsid w:val="00C7258D"/>
    <w:rsid w:val="00C72DDA"/>
    <w:rsid w:val="00C82172"/>
    <w:rsid w:val="00C83920"/>
    <w:rsid w:val="00C84755"/>
    <w:rsid w:val="00C9149B"/>
    <w:rsid w:val="00C9244F"/>
    <w:rsid w:val="00CA224E"/>
    <w:rsid w:val="00CA7425"/>
    <w:rsid w:val="00CB03A8"/>
    <w:rsid w:val="00CB0E6A"/>
    <w:rsid w:val="00CB19ED"/>
    <w:rsid w:val="00CB1F90"/>
    <w:rsid w:val="00CB4200"/>
    <w:rsid w:val="00CB6204"/>
    <w:rsid w:val="00CC0419"/>
    <w:rsid w:val="00CC1177"/>
    <w:rsid w:val="00CC330F"/>
    <w:rsid w:val="00CD270E"/>
    <w:rsid w:val="00CD724A"/>
    <w:rsid w:val="00CE0471"/>
    <w:rsid w:val="00CE16CE"/>
    <w:rsid w:val="00CE39EF"/>
    <w:rsid w:val="00CF2167"/>
    <w:rsid w:val="00D00EDC"/>
    <w:rsid w:val="00D060AE"/>
    <w:rsid w:val="00D068FF"/>
    <w:rsid w:val="00D0723F"/>
    <w:rsid w:val="00D105E6"/>
    <w:rsid w:val="00D12DCE"/>
    <w:rsid w:val="00D13052"/>
    <w:rsid w:val="00D14662"/>
    <w:rsid w:val="00D160F1"/>
    <w:rsid w:val="00D217CB"/>
    <w:rsid w:val="00D23550"/>
    <w:rsid w:val="00D278C3"/>
    <w:rsid w:val="00D32A41"/>
    <w:rsid w:val="00D3333C"/>
    <w:rsid w:val="00D37818"/>
    <w:rsid w:val="00D40977"/>
    <w:rsid w:val="00D4600A"/>
    <w:rsid w:val="00D521B7"/>
    <w:rsid w:val="00D533D0"/>
    <w:rsid w:val="00D56958"/>
    <w:rsid w:val="00D57AE7"/>
    <w:rsid w:val="00D62CBE"/>
    <w:rsid w:val="00D74012"/>
    <w:rsid w:val="00D771A5"/>
    <w:rsid w:val="00D81885"/>
    <w:rsid w:val="00D8284E"/>
    <w:rsid w:val="00D833B7"/>
    <w:rsid w:val="00D83838"/>
    <w:rsid w:val="00D85C12"/>
    <w:rsid w:val="00D85C21"/>
    <w:rsid w:val="00D91103"/>
    <w:rsid w:val="00D9606B"/>
    <w:rsid w:val="00D9631B"/>
    <w:rsid w:val="00D978EC"/>
    <w:rsid w:val="00DA1BDC"/>
    <w:rsid w:val="00DA7CCB"/>
    <w:rsid w:val="00DB03D8"/>
    <w:rsid w:val="00DB1A8C"/>
    <w:rsid w:val="00DB21E6"/>
    <w:rsid w:val="00DB2EAA"/>
    <w:rsid w:val="00DB45B2"/>
    <w:rsid w:val="00DB77F9"/>
    <w:rsid w:val="00DC082D"/>
    <w:rsid w:val="00DC1BD7"/>
    <w:rsid w:val="00DC4FFF"/>
    <w:rsid w:val="00DC5407"/>
    <w:rsid w:val="00DC6943"/>
    <w:rsid w:val="00DD050D"/>
    <w:rsid w:val="00DD443C"/>
    <w:rsid w:val="00DD6367"/>
    <w:rsid w:val="00DD658E"/>
    <w:rsid w:val="00DE450E"/>
    <w:rsid w:val="00DE4B92"/>
    <w:rsid w:val="00DE4C8A"/>
    <w:rsid w:val="00DE6E3E"/>
    <w:rsid w:val="00DF14EE"/>
    <w:rsid w:val="00DF29F5"/>
    <w:rsid w:val="00E04AD3"/>
    <w:rsid w:val="00E06646"/>
    <w:rsid w:val="00E07687"/>
    <w:rsid w:val="00E07F2F"/>
    <w:rsid w:val="00E13D69"/>
    <w:rsid w:val="00E141D7"/>
    <w:rsid w:val="00E14BF9"/>
    <w:rsid w:val="00E22DB7"/>
    <w:rsid w:val="00E27CE7"/>
    <w:rsid w:val="00E40C6C"/>
    <w:rsid w:val="00E41B29"/>
    <w:rsid w:val="00E424CD"/>
    <w:rsid w:val="00E45845"/>
    <w:rsid w:val="00E47864"/>
    <w:rsid w:val="00E478EE"/>
    <w:rsid w:val="00E51159"/>
    <w:rsid w:val="00E54146"/>
    <w:rsid w:val="00E5560A"/>
    <w:rsid w:val="00E60401"/>
    <w:rsid w:val="00E6059C"/>
    <w:rsid w:val="00E6138B"/>
    <w:rsid w:val="00E61E48"/>
    <w:rsid w:val="00E629E9"/>
    <w:rsid w:val="00E668C4"/>
    <w:rsid w:val="00E7424E"/>
    <w:rsid w:val="00E75697"/>
    <w:rsid w:val="00E75898"/>
    <w:rsid w:val="00E759B2"/>
    <w:rsid w:val="00E766C3"/>
    <w:rsid w:val="00E779B4"/>
    <w:rsid w:val="00E77AAC"/>
    <w:rsid w:val="00E807DD"/>
    <w:rsid w:val="00E829DC"/>
    <w:rsid w:val="00E83778"/>
    <w:rsid w:val="00E837B2"/>
    <w:rsid w:val="00E83E6B"/>
    <w:rsid w:val="00E83E79"/>
    <w:rsid w:val="00E84099"/>
    <w:rsid w:val="00E93A47"/>
    <w:rsid w:val="00E94BD7"/>
    <w:rsid w:val="00E95619"/>
    <w:rsid w:val="00EA1794"/>
    <w:rsid w:val="00EA2220"/>
    <w:rsid w:val="00EA234C"/>
    <w:rsid w:val="00EA35CE"/>
    <w:rsid w:val="00EB08DB"/>
    <w:rsid w:val="00EB16F4"/>
    <w:rsid w:val="00EB1D50"/>
    <w:rsid w:val="00EB57A5"/>
    <w:rsid w:val="00EB75FD"/>
    <w:rsid w:val="00EC1ED7"/>
    <w:rsid w:val="00EC5EB0"/>
    <w:rsid w:val="00EC6914"/>
    <w:rsid w:val="00EC755C"/>
    <w:rsid w:val="00ED7532"/>
    <w:rsid w:val="00EE37A7"/>
    <w:rsid w:val="00EE420A"/>
    <w:rsid w:val="00EE73F2"/>
    <w:rsid w:val="00EE7B5E"/>
    <w:rsid w:val="00EF22E0"/>
    <w:rsid w:val="00EF30C7"/>
    <w:rsid w:val="00EF34D4"/>
    <w:rsid w:val="00F010D5"/>
    <w:rsid w:val="00F020E6"/>
    <w:rsid w:val="00F03190"/>
    <w:rsid w:val="00F075E5"/>
    <w:rsid w:val="00F10E07"/>
    <w:rsid w:val="00F12E6F"/>
    <w:rsid w:val="00F14CD2"/>
    <w:rsid w:val="00F14F3F"/>
    <w:rsid w:val="00F15B6A"/>
    <w:rsid w:val="00F176F0"/>
    <w:rsid w:val="00F2283E"/>
    <w:rsid w:val="00F24686"/>
    <w:rsid w:val="00F27625"/>
    <w:rsid w:val="00F31D96"/>
    <w:rsid w:val="00F34991"/>
    <w:rsid w:val="00F40CE4"/>
    <w:rsid w:val="00F42127"/>
    <w:rsid w:val="00F4360E"/>
    <w:rsid w:val="00F46790"/>
    <w:rsid w:val="00F467C9"/>
    <w:rsid w:val="00F50FCD"/>
    <w:rsid w:val="00F5251C"/>
    <w:rsid w:val="00F54448"/>
    <w:rsid w:val="00F571D4"/>
    <w:rsid w:val="00F6019C"/>
    <w:rsid w:val="00F648D2"/>
    <w:rsid w:val="00F64944"/>
    <w:rsid w:val="00F7654B"/>
    <w:rsid w:val="00F80CCA"/>
    <w:rsid w:val="00F81C4D"/>
    <w:rsid w:val="00F822ED"/>
    <w:rsid w:val="00F8255F"/>
    <w:rsid w:val="00F84E5F"/>
    <w:rsid w:val="00FA0B2D"/>
    <w:rsid w:val="00FA0EA4"/>
    <w:rsid w:val="00FA14A4"/>
    <w:rsid w:val="00FA611F"/>
    <w:rsid w:val="00FA793C"/>
    <w:rsid w:val="00FB1879"/>
    <w:rsid w:val="00FB3D64"/>
    <w:rsid w:val="00FB6959"/>
    <w:rsid w:val="00FB7144"/>
    <w:rsid w:val="00FC673A"/>
    <w:rsid w:val="00FD0A29"/>
    <w:rsid w:val="00FD0F78"/>
    <w:rsid w:val="00FD4146"/>
    <w:rsid w:val="00FD6A5B"/>
    <w:rsid w:val="00FD6E40"/>
    <w:rsid w:val="00FD6EB7"/>
    <w:rsid w:val="00FD7644"/>
    <w:rsid w:val="00FE344A"/>
    <w:rsid w:val="00FE65EA"/>
    <w:rsid w:val="00FF0126"/>
    <w:rsid w:val="00FF0E89"/>
    <w:rsid w:val="00FF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1CC95"/>
  <w15:chartTrackingRefBased/>
  <w15:docId w15:val="{B1BE9EF7-81CA-4631-A638-95372846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annotation text" w:semiHidden="1"/>
    <w:lsdException w:name="footer" w:uiPriority="99"/>
    <w:lsdException w:name="index heading" w:semiHidden="1"/>
    <w:lsdException w:name="caption" w:semiHidden="1" w:unhideWhenUsed="1" w:qFormat="1"/>
    <w:lsdException w:name="annotation reference"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B2"/>
    <w:rPr>
      <w:sz w:val="18"/>
      <w:szCs w:val="18"/>
      <w:lang w:val="nb-NO"/>
    </w:rPr>
  </w:style>
  <w:style w:type="paragraph" w:styleId="Overskrift1">
    <w:name w:val="heading 1"/>
    <w:basedOn w:val="No-numheading1Agency"/>
    <w:next w:val="BodytextAgency"/>
    <w:rsid w:val="001856FF"/>
    <w:rPr>
      <w:noProof/>
    </w:rPr>
  </w:style>
  <w:style w:type="paragraph" w:styleId="Overskrift2">
    <w:name w:val="heading 2"/>
    <w:basedOn w:val="No-numheading2Agency"/>
    <w:next w:val="BodytextAgency"/>
    <w:semiHidden/>
    <w:unhideWhenUsed/>
    <w:qFormat/>
    <w:rsid w:val="001856FF"/>
    <w:pPr>
      <w:spacing w:before="240" w:after="60"/>
    </w:pPr>
    <w:rPr>
      <w:rFonts w:ascii="Cambria" w:eastAsia="Times New Roman" w:hAnsi="Cambria" w:cs="Times New Roman"/>
      <w:iCs/>
      <w:kern w:val="0"/>
      <w:sz w:val="28"/>
      <w:szCs w:val="28"/>
      <w:lang w:eastAsia="zh-CN"/>
    </w:rPr>
  </w:style>
  <w:style w:type="paragraph" w:styleId="Overskrift3">
    <w:name w:val="heading 3"/>
    <w:basedOn w:val="No-numheading3Agency"/>
    <w:next w:val="BodytextAgency"/>
    <w:semiHidden/>
    <w:unhideWhenUsed/>
    <w:qFormat/>
    <w:rsid w:val="001856FF"/>
    <w:pPr>
      <w:spacing w:before="240" w:after="60"/>
    </w:pPr>
    <w:rPr>
      <w:rFonts w:ascii="Cambria" w:eastAsia="Times New Roman" w:hAnsi="Cambria" w:cs="Times New Roman"/>
      <w:kern w:val="0"/>
      <w:sz w:val="26"/>
      <w:szCs w:val="26"/>
      <w:lang w:eastAsia="zh-CN"/>
    </w:rPr>
  </w:style>
  <w:style w:type="paragraph" w:styleId="Overskrift4">
    <w:name w:val="heading 4"/>
    <w:basedOn w:val="No-numheading4Agency"/>
    <w:next w:val="BodytextAgency"/>
    <w:semiHidden/>
    <w:unhideWhenUsed/>
    <w:qFormat/>
    <w:rsid w:val="001856FF"/>
    <w:pPr>
      <w:spacing w:before="240" w:after="60"/>
    </w:pPr>
    <w:rPr>
      <w:rFonts w:ascii="Calibri" w:eastAsia="Times New Roman" w:hAnsi="Calibri" w:cs="Times New Roman"/>
      <w:i w:val="0"/>
      <w:kern w:val="0"/>
      <w:sz w:val="28"/>
      <w:szCs w:val="28"/>
      <w:lang w:eastAsia="zh-CN"/>
    </w:rPr>
  </w:style>
  <w:style w:type="paragraph" w:styleId="Overskrift5">
    <w:name w:val="heading 5"/>
    <w:basedOn w:val="Normal"/>
    <w:next w:val="Normal"/>
    <w:semiHidden/>
    <w:unhideWhenUsed/>
    <w:qFormat/>
    <w:rsid w:val="001856FF"/>
    <w:pPr>
      <w:spacing w:before="240" w:after="60"/>
      <w:outlineLvl w:val="4"/>
    </w:pPr>
    <w:rPr>
      <w:rFonts w:ascii="Calibri" w:eastAsia="Times New Roman" w:hAnsi="Calibri"/>
      <w:b/>
      <w:bCs/>
      <w:i/>
      <w:iCs/>
      <w:sz w:val="26"/>
      <w:szCs w:val="26"/>
      <w:lang w:eastAsia="zh-CN"/>
    </w:rPr>
  </w:style>
  <w:style w:type="paragraph" w:styleId="Overskrift6">
    <w:name w:val="heading 6"/>
    <w:basedOn w:val="No-numheading6Agency"/>
    <w:next w:val="BodytextAgency"/>
    <w:semiHidden/>
    <w:unhideWhenUsed/>
    <w:qFormat/>
    <w:rsid w:val="001856FF"/>
    <w:pPr>
      <w:keepNext w:val="0"/>
      <w:spacing w:before="240" w:after="60"/>
    </w:pPr>
    <w:rPr>
      <w:rFonts w:ascii="Calibri" w:eastAsia="Times New Roman" w:hAnsi="Calibri" w:cs="Times New Roman"/>
      <w:kern w:val="0"/>
      <w:sz w:val="22"/>
      <w:szCs w:val="22"/>
      <w:lang w:eastAsia="zh-CN"/>
    </w:rPr>
  </w:style>
  <w:style w:type="paragraph" w:styleId="Overskrift7">
    <w:name w:val="heading 7"/>
    <w:basedOn w:val="No-numheading7Agency"/>
    <w:next w:val="BodytextAgency"/>
    <w:semiHidden/>
    <w:unhideWhenUsed/>
    <w:qFormat/>
    <w:rsid w:val="001856FF"/>
    <w:pPr>
      <w:keepNext w:val="0"/>
      <w:spacing w:before="240" w:after="60"/>
    </w:pPr>
    <w:rPr>
      <w:rFonts w:ascii="Calibri" w:eastAsia="Times New Roman" w:hAnsi="Calibri" w:cs="Times New Roman"/>
      <w:b w:val="0"/>
      <w:bCs w:val="0"/>
      <w:kern w:val="0"/>
      <w:sz w:val="24"/>
      <w:szCs w:val="24"/>
      <w:lang w:eastAsia="zh-CN"/>
    </w:rPr>
  </w:style>
  <w:style w:type="paragraph" w:styleId="Overskrift8">
    <w:name w:val="heading 8"/>
    <w:basedOn w:val="No-numheading8Agency"/>
    <w:next w:val="BodytextAgency"/>
    <w:semiHidden/>
    <w:unhideWhenUsed/>
    <w:qFormat/>
    <w:rsid w:val="001856FF"/>
    <w:pPr>
      <w:keepNext w:val="0"/>
      <w:spacing w:before="240" w:after="60"/>
    </w:pPr>
    <w:rPr>
      <w:rFonts w:ascii="Calibri" w:eastAsia="Times New Roman" w:hAnsi="Calibri" w:cs="Times New Roman"/>
      <w:b w:val="0"/>
      <w:bCs w:val="0"/>
      <w:i/>
      <w:iCs/>
      <w:kern w:val="0"/>
      <w:sz w:val="24"/>
      <w:szCs w:val="24"/>
      <w:lang w:eastAsia="zh-CN"/>
    </w:rPr>
  </w:style>
  <w:style w:type="paragraph" w:styleId="Overskrift9">
    <w:name w:val="heading 9"/>
    <w:basedOn w:val="No-numheading9Agency"/>
    <w:next w:val="BodytextAgency"/>
    <w:semiHidden/>
    <w:unhideWhenUsed/>
    <w:qFormat/>
    <w:rsid w:val="001856FF"/>
    <w:pPr>
      <w:keepNext w:val="0"/>
      <w:spacing w:before="240" w:after="60"/>
    </w:pPr>
    <w:rPr>
      <w:rFonts w:ascii="Cambria" w:eastAsia="Times New Roman" w:hAnsi="Cambria" w:cs="Times New Roman"/>
      <w:b w:val="0"/>
      <w:bCs w:val="0"/>
      <w:kern w:val="0"/>
      <w:sz w:val="22"/>
      <w:szCs w:val="22"/>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centredAgency">
    <w:name w:val="Heading centred (Agency)"/>
    <w:basedOn w:val="No-numheading1Agency"/>
    <w:next w:val="BodytextAgency"/>
    <w:qFormat/>
    <w:rsid w:val="00BC4EC5"/>
    <w:pPr>
      <w:jc w:val="center"/>
    </w:pPr>
  </w:style>
  <w:style w:type="paragraph" w:styleId="Bunntekst">
    <w:name w:val="footer"/>
    <w:basedOn w:val="Normal"/>
    <w:link w:val="BunntekstTegn"/>
    <w:uiPriority w:val="99"/>
    <w:semiHidden/>
    <w:rsid w:val="00E51159"/>
    <w:pPr>
      <w:tabs>
        <w:tab w:val="center" w:pos="4153"/>
        <w:tab w:val="right" w:pos="8306"/>
      </w:tabs>
    </w:pPr>
    <w:rPr>
      <w:rFonts w:ascii="Arial" w:eastAsia="Times New Roman" w:hAnsi="Arial"/>
      <w:sz w:val="16"/>
      <w:szCs w:val="20"/>
      <w:lang w:eastAsia="en-US"/>
    </w:rPr>
  </w:style>
  <w:style w:type="character" w:styleId="Sidetall">
    <w:name w:val="page number"/>
    <w:basedOn w:val="Standardskriftforavsnitt"/>
    <w:semiHidden/>
    <w:rsid w:val="00E51159"/>
  </w:style>
  <w:style w:type="paragraph" w:customStyle="1" w:styleId="FooterAgency">
    <w:name w:val="Footer (Agency)"/>
    <w:basedOn w:val="Normal"/>
    <w:link w:val="FooterAgencyCharChar"/>
    <w:rsid w:val="005C04A5"/>
    <w:rPr>
      <w:rFonts w:ascii="Verdana" w:eastAsia="Verdana" w:hAnsi="Verdana" w:cs="Verdana"/>
      <w:color w:val="6D6F71"/>
      <w:sz w:val="14"/>
      <w:szCs w:val="14"/>
    </w:rPr>
  </w:style>
  <w:style w:type="paragraph" w:customStyle="1" w:styleId="FooterblueAgency">
    <w:name w:val="Footer blue (Agency)"/>
    <w:basedOn w:val="Normal"/>
    <w:link w:val="FooterblueAgencyCharChar"/>
    <w:rsid w:val="005C04A5"/>
    <w:rPr>
      <w:rFonts w:ascii="Verdana" w:eastAsia="Verdana" w:hAnsi="Verdana" w:cs="Verdana"/>
      <w:b/>
      <w:color w:val="003399"/>
      <w:sz w:val="13"/>
      <w:szCs w:val="14"/>
    </w:rPr>
  </w:style>
  <w:style w:type="table" w:customStyle="1" w:styleId="FootertableAgency">
    <w:name w:val="Footer table (Agency)"/>
    <w:basedOn w:val="Vanligtabell"/>
    <w:semiHidden/>
    <w:rsid w:val="00E51159"/>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1856FF"/>
    <w:rPr>
      <w:rFonts w:ascii="Verdana" w:eastAsia="Verdana" w:hAnsi="Verdana" w:cs="Verdana"/>
      <w:b/>
      <w:color w:val="003399"/>
      <w:sz w:val="13"/>
      <w:szCs w:val="14"/>
    </w:rPr>
  </w:style>
  <w:style w:type="paragraph" w:styleId="Brdtekst">
    <w:name w:val="Body Text"/>
    <w:basedOn w:val="Normal"/>
    <w:link w:val="BrdtekstTegn"/>
    <w:semiHidden/>
    <w:rsid w:val="00E51159"/>
    <w:pPr>
      <w:spacing w:after="140" w:line="280" w:lineRule="atLeast"/>
    </w:pPr>
  </w:style>
  <w:style w:type="paragraph" w:customStyle="1" w:styleId="BodytextAgency">
    <w:name w:val="Body text (Agency)"/>
    <w:basedOn w:val="Normal"/>
    <w:link w:val="BodytextAgencyChar"/>
    <w:qFormat/>
    <w:rsid w:val="00BC4EC5"/>
    <w:pPr>
      <w:spacing w:after="140" w:line="280" w:lineRule="atLeast"/>
    </w:pPr>
    <w:rPr>
      <w:rFonts w:ascii="Verdana" w:eastAsia="Verdana" w:hAnsi="Verdana" w:cs="Verdana"/>
    </w:rPr>
  </w:style>
  <w:style w:type="numbering" w:customStyle="1" w:styleId="BulletsAgency">
    <w:name w:val="Bullets (Agency)"/>
    <w:basedOn w:val="Ingenliste"/>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BC4EC5"/>
    <w:pPr>
      <w:spacing w:after="640" w:line="360" w:lineRule="atLeast"/>
    </w:pPr>
    <w:rPr>
      <w:rFonts w:ascii="Verdana" w:eastAsia="Verdana" w:hAnsi="Verdana" w:cs="Verdana"/>
      <w:sz w:val="24"/>
      <w:szCs w:val="24"/>
    </w:rPr>
  </w:style>
  <w:style w:type="paragraph" w:customStyle="1" w:styleId="DoctitleAgency">
    <w:name w:val="Doc title (Agency)"/>
    <w:basedOn w:val="Normal"/>
    <w:next w:val="DocsubtitleAgency"/>
    <w:qFormat/>
    <w:rsid w:val="00BC4EC5"/>
    <w:pPr>
      <w:spacing w:before="720" w:line="360" w:lineRule="atLeast"/>
    </w:pPr>
    <w:rPr>
      <w:rFonts w:ascii="Verdana" w:eastAsia="Verdana" w:hAnsi="Verdana" w:cs="Verdana"/>
      <w:color w:val="003399"/>
      <w:sz w:val="32"/>
      <w:szCs w:val="32"/>
    </w:rPr>
  </w:style>
  <w:style w:type="paragraph" w:customStyle="1" w:styleId="DraftingNotesAgency">
    <w:name w:val="Drafting Notes (Agency)"/>
    <w:basedOn w:val="Normal"/>
    <w:next w:val="BodytextAgency"/>
    <w:qFormat/>
    <w:rsid w:val="00BC4EC5"/>
    <w:pPr>
      <w:spacing w:after="140" w:line="280" w:lineRule="atLeast"/>
    </w:pPr>
    <w:rPr>
      <w:rFonts w:ascii="Courier New" w:eastAsia="Verdana" w:hAnsi="Courier New"/>
      <w:i/>
      <w:color w:val="339966"/>
      <w:sz w:val="22"/>
    </w:rPr>
  </w:style>
  <w:style w:type="character" w:styleId="Sluttnotereferans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Sluttnoteteks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rsid w:val="001856FF"/>
    <w:pPr>
      <w:keepNext/>
      <w:numPr>
        <w:numId w:val="3"/>
      </w:numPr>
      <w:spacing w:before="240" w:after="120"/>
    </w:pPr>
  </w:style>
  <w:style w:type="character" w:styleId="Fotnotereferanse">
    <w:name w:val="footnote reference"/>
    <w:semiHidden/>
    <w:rsid w:val="00E51159"/>
    <w:rPr>
      <w:rFonts w:ascii="Verdana" w:hAnsi="Verdana"/>
      <w:vertAlign w:val="superscript"/>
    </w:rPr>
  </w:style>
  <w:style w:type="character" w:customStyle="1" w:styleId="FootnotereferenceAgency">
    <w:name w:val="Footnote reference (Agency)"/>
    <w:rsid w:val="001856FF"/>
    <w:rPr>
      <w:rFonts w:ascii="Verdana" w:hAnsi="Verdana"/>
      <w:color w:val="auto"/>
      <w:vertAlign w:val="superscript"/>
    </w:rPr>
  </w:style>
  <w:style w:type="paragraph" w:styleId="Fotnotetekst">
    <w:name w:val="footnote text"/>
    <w:basedOn w:val="Normal"/>
    <w:semiHidden/>
    <w:rsid w:val="00E51159"/>
    <w:rPr>
      <w:rFonts w:eastAsia="Verdana"/>
      <w:sz w:val="15"/>
      <w:szCs w:val="20"/>
    </w:rPr>
  </w:style>
  <w:style w:type="paragraph" w:customStyle="1" w:styleId="FootnotetextAgency">
    <w:name w:val="Footnote text (Agency)"/>
    <w:basedOn w:val="Normal"/>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BC4EC5"/>
    <w:pPr>
      <w:keepNext/>
      <w:numPr>
        <w:numId w:val="8"/>
      </w:numPr>
      <w:spacing w:before="280" w:after="220"/>
      <w:outlineLvl w:val="0"/>
    </w:pPr>
    <w:rPr>
      <w:rFonts w:ascii="Verdana" w:eastAsia="Verdana" w:hAnsi="Verdana" w:cs="Arial"/>
      <w:b/>
      <w:bCs/>
      <w:kern w:val="32"/>
      <w:sz w:val="27"/>
      <w:szCs w:val="27"/>
    </w:rPr>
  </w:style>
  <w:style w:type="paragraph" w:customStyle="1" w:styleId="Heading2Agency">
    <w:name w:val="Heading 2 (Agency)"/>
    <w:basedOn w:val="Normal"/>
    <w:next w:val="BodytextAgency"/>
    <w:qFormat/>
    <w:rsid w:val="00BC4EC5"/>
    <w:pPr>
      <w:keepNext/>
      <w:numPr>
        <w:ilvl w:val="1"/>
        <w:numId w:val="8"/>
      </w:numPr>
      <w:spacing w:before="280" w:after="220"/>
      <w:outlineLvl w:val="1"/>
    </w:pPr>
    <w:rPr>
      <w:rFonts w:ascii="Verdana" w:eastAsia="Verdana" w:hAnsi="Verdana" w:cs="Arial"/>
      <w:b/>
      <w:bCs/>
      <w:i/>
      <w:kern w:val="32"/>
      <w:sz w:val="22"/>
      <w:szCs w:val="22"/>
    </w:rPr>
  </w:style>
  <w:style w:type="paragraph" w:customStyle="1" w:styleId="Heading3Agency">
    <w:name w:val="Heading 3 (Agency)"/>
    <w:basedOn w:val="Normal"/>
    <w:next w:val="BodytextAgency"/>
    <w:qFormat/>
    <w:rsid w:val="00BC4EC5"/>
    <w:pPr>
      <w:keepNext/>
      <w:numPr>
        <w:ilvl w:val="2"/>
        <w:numId w:val="8"/>
      </w:numPr>
      <w:spacing w:before="280" w:after="220"/>
      <w:outlineLvl w:val="2"/>
    </w:pPr>
    <w:rPr>
      <w:rFonts w:ascii="Verdana" w:eastAsia="Verdana" w:hAnsi="Verdana" w:cs="Arial"/>
      <w:b/>
      <w:bCs/>
      <w:kern w:val="32"/>
      <w:sz w:val="22"/>
      <w:szCs w:val="22"/>
    </w:rPr>
  </w:style>
  <w:style w:type="paragraph" w:customStyle="1" w:styleId="Heading4Agency">
    <w:name w:val="Heading 4 (Agency)"/>
    <w:basedOn w:val="Heading3Agency"/>
    <w:next w:val="BodytextAgency"/>
    <w:qFormat/>
    <w:rsid w:val="00BC4EC5"/>
    <w:pPr>
      <w:numPr>
        <w:ilvl w:val="3"/>
      </w:numPr>
      <w:outlineLvl w:val="3"/>
    </w:pPr>
    <w:rPr>
      <w:i/>
      <w:sz w:val="18"/>
      <w:szCs w:val="18"/>
    </w:rPr>
  </w:style>
  <w:style w:type="paragraph" w:customStyle="1" w:styleId="Heading5Agency">
    <w:name w:val="Heading 5 (Agency)"/>
    <w:basedOn w:val="Heading4Agency"/>
    <w:next w:val="BodytextAgency"/>
    <w:qFormat/>
    <w:rsid w:val="00BC4EC5"/>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BC4EC5"/>
    <w:pPr>
      <w:keepNext/>
      <w:spacing w:before="280" w:after="220"/>
      <w:outlineLvl w:val="0"/>
    </w:pPr>
    <w:rPr>
      <w:rFonts w:ascii="Verdana" w:eastAsia="Verdana" w:hAnsi="Verdana" w:cs="Arial"/>
      <w:b/>
      <w:bCs/>
      <w:kern w:val="32"/>
      <w:sz w:val="27"/>
      <w:szCs w:val="27"/>
    </w:rPr>
  </w:style>
  <w:style w:type="paragraph" w:customStyle="1" w:styleId="No-numheading2Agency">
    <w:name w:val="No-num heading 2 (Agency)"/>
    <w:basedOn w:val="Normal"/>
    <w:next w:val="BodytextAgency"/>
    <w:qFormat/>
    <w:rsid w:val="00BC4EC5"/>
    <w:pPr>
      <w:keepNext/>
      <w:spacing w:before="280" w:after="220"/>
      <w:outlineLvl w:val="1"/>
    </w:pPr>
    <w:rPr>
      <w:rFonts w:ascii="Verdana" w:eastAsia="Verdana" w:hAnsi="Verdana" w:cs="Arial"/>
      <w:b/>
      <w:bCs/>
      <w:i/>
      <w:kern w:val="32"/>
      <w:sz w:val="22"/>
      <w:szCs w:val="22"/>
    </w:rPr>
  </w:style>
  <w:style w:type="paragraph" w:customStyle="1" w:styleId="No-numheading3Agency">
    <w:name w:val="No-num heading 3 (Agency)"/>
    <w:basedOn w:val="Heading3Agency"/>
    <w:next w:val="BodytextAgency"/>
    <w:qFormat/>
    <w:rsid w:val="00BC4EC5"/>
    <w:pPr>
      <w:numPr>
        <w:ilvl w:val="0"/>
        <w:numId w:val="0"/>
      </w:numPr>
    </w:pPr>
  </w:style>
  <w:style w:type="paragraph" w:customStyle="1" w:styleId="No-numheading4Agency">
    <w:name w:val="No-num heading 4 (Agency)"/>
    <w:basedOn w:val="Heading4Agency"/>
    <w:next w:val="BodytextAgency"/>
    <w:qFormat/>
    <w:rsid w:val="00BC4EC5"/>
    <w:pPr>
      <w:numPr>
        <w:ilvl w:val="0"/>
        <w:numId w:val="0"/>
      </w:numPr>
    </w:pPr>
  </w:style>
  <w:style w:type="paragraph" w:customStyle="1" w:styleId="No-numheading5Agency">
    <w:name w:val="No-num heading 5 (Agency)"/>
    <w:basedOn w:val="Heading5Agency"/>
    <w:next w:val="BodytextAgency"/>
    <w:qFormat/>
    <w:rsid w:val="00BC4EC5"/>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BC4EC5"/>
    <w:rPr>
      <w:rFonts w:ascii="Verdana" w:eastAsia="Verdana" w:hAnsi="Verdana" w:cs="Verdana"/>
      <w:sz w:val="18"/>
      <w:szCs w:val="18"/>
    </w:rPr>
  </w:style>
  <w:style w:type="paragraph" w:customStyle="1" w:styleId="No-TOCheadingAgency">
    <w:name w:val="No-TOC heading (Agency)"/>
    <w:basedOn w:val="Normal"/>
    <w:next w:val="BodytextAgency"/>
    <w:qFormat/>
    <w:rsid w:val="00BC4EC5"/>
    <w:pPr>
      <w:keepNext/>
      <w:spacing w:before="280" w:after="220"/>
    </w:pPr>
    <w:rPr>
      <w:rFonts w:ascii="Verdana" w:eastAsia="Times New Roman" w:hAnsi="Verdana" w:cs="Arial"/>
      <w:b/>
      <w:kern w:val="32"/>
      <w:sz w:val="27"/>
      <w:szCs w:val="27"/>
    </w:rPr>
  </w:style>
  <w:style w:type="numbering" w:customStyle="1" w:styleId="NumberlistAgency">
    <w:name w:val="Number list (Agency)"/>
    <w:basedOn w:val="Ingenliste"/>
    <w:rsid w:val="00E51159"/>
    <w:pPr>
      <w:numPr>
        <w:numId w:val="2"/>
      </w:numPr>
    </w:pPr>
  </w:style>
  <w:style w:type="paragraph" w:customStyle="1" w:styleId="RefAgency">
    <w:name w:val="Ref. (Agency)"/>
    <w:basedOn w:val="Normal"/>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Vanligtabell"/>
    <w:semiHidden/>
    <w:rsid w:val="00DF14EE"/>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Vanligtabell"/>
    <w:semiHidden/>
    <w:rsid w:val="00E51159"/>
    <w:rPr>
      <w:rFonts w:ascii="Verdana"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1856FF"/>
    <w:pPr>
      <w:keepNext/>
      <w:numPr>
        <w:numId w:val="4"/>
      </w:numPr>
      <w:spacing w:before="240" w:after="120"/>
    </w:pPr>
  </w:style>
  <w:style w:type="paragraph" w:customStyle="1" w:styleId="TableheadingrowsAgency">
    <w:name w:val="Table heading rows (Agency)"/>
    <w:basedOn w:val="BodytextAgency"/>
    <w:rsid w:val="001856FF"/>
    <w:pPr>
      <w:keepNext/>
    </w:pPr>
    <w:rPr>
      <w:rFonts w:eastAsia="Times New Roman"/>
      <w:b/>
    </w:rPr>
  </w:style>
  <w:style w:type="paragraph" w:customStyle="1" w:styleId="TabletextrowsAgency">
    <w:name w:val="Table text rows (Agency)"/>
    <w:basedOn w:val="Normal"/>
    <w:rsid w:val="001856FF"/>
    <w:pPr>
      <w:spacing w:line="280" w:lineRule="exact"/>
    </w:pPr>
    <w:rPr>
      <w:rFonts w:eastAsia="Times New Roman"/>
    </w:rPr>
  </w:style>
  <w:style w:type="paragraph" w:customStyle="1" w:styleId="TableFigurenoteAgency">
    <w:name w:val="Table/Figure note (Agency)"/>
    <w:basedOn w:val="BodytextAgency"/>
    <w:next w:val="BodytextAgency"/>
    <w:rsid w:val="001856FF"/>
    <w:pPr>
      <w:spacing w:before="60" w:after="240" w:line="240" w:lineRule="auto"/>
    </w:pPr>
    <w:rPr>
      <w:sz w:val="16"/>
      <w:szCs w:val="16"/>
    </w:rPr>
  </w:style>
  <w:style w:type="paragraph" w:styleId="INNH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INNH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INNH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INNH4">
    <w:name w:val="toc 4"/>
    <w:basedOn w:val="Normal"/>
    <w:next w:val="BodytextAgency"/>
    <w:semiHidden/>
    <w:rsid w:val="00E51159"/>
    <w:pPr>
      <w:tabs>
        <w:tab w:val="right" w:leader="dot" w:pos="9401"/>
      </w:tabs>
      <w:spacing w:after="57" w:line="240" w:lineRule="atLeast"/>
    </w:pPr>
    <w:rPr>
      <w:noProof/>
      <w:sz w:val="20"/>
    </w:rPr>
  </w:style>
  <w:style w:type="paragraph" w:styleId="INNH5">
    <w:name w:val="toc 5"/>
    <w:basedOn w:val="Normal"/>
    <w:next w:val="BodytextAgency"/>
    <w:semiHidden/>
    <w:rsid w:val="00E51159"/>
    <w:pPr>
      <w:tabs>
        <w:tab w:val="right" w:leader="dot" w:pos="9401"/>
      </w:tabs>
      <w:spacing w:after="57" w:line="240" w:lineRule="atLeast"/>
    </w:pPr>
    <w:rPr>
      <w:noProof/>
      <w:sz w:val="20"/>
    </w:rPr>
  </w:style>
  <w:style w:type="paragraph" w:styleId="INNH6">
    <w:name w:val="toc 6"/>
    <w:basedOn w:val="Normal"/>
    <w:next w:val="BodytextAgency"/>
    <w:semiHidden/>
    <w:rsid w:val="00E51159"/>
    <w:pPr>
      <w:spacing w:after="57" w:line="240" w:lineRule="exact"/>
    </w:pPr>
    <w:rPr>
      <w:rFonts w:eastAsia="Times New Roman"/>
    </w:rPr>
  </w:style>
  <w:style w:type="paragraph" w:styleId="INNH7">
    <w:name w:val="toc 7"/>
    <w:basedOn w:val="Normal"/>
    <w:next w:val="BodytextAgency"/>
    <w:semiHidden/>
    <w:rsid w:val="00E51159"/>
    <w:pPr>
      <w:spacing w:after="57" w:line="240" w:lineRule="exact"/>
    </w:pPr>
    <w:rPr>
      <w:rFonts w:eastAsia="Times New Roman"/>
    </w:rPr>
  </w:style>
  <w:style w:type="paragraph" w:styleId="INNH8">
    <w:name w:val="toc 8"/>
    <w:basedOn w:val="Normal"/>
    <w:next w:val="BodytextAgency"/>
    <w:semiHidden/>
    <w:rsid w:val="00E51159"/>
    <w:pPr>
      <w:spacing w:after="57" w:line="240" w:lineRule="exact"/>
    </w:pPr>
    <w:rPr>
      <w:rFonts w:eastAsia="Times New Roman"/>
    </w:rPr>
  </w:style>
  <w:style w:type="paragraph" w:styleId="INNH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qFormat/>
    <w:rsid w:val="00BC4EC5"/>
    <w:rPr>
      <w:rFonts w:ascii="Verdana" w:eastAsia="Times New Roman" w:hAnsi="Verdana"/>
      <w:color w:val="FF0000"/>
      <w:sz w:val="17"/>
      <w:szCs w:val="17"/>
    </w:rPr>
  </w:style>
  <w:style w:type="paragraph" w:styleId="Topptekst">
    <w:name w:val="header"/>
    <w:basedOn w:val="Normal"/>
    <w:semiHidden/>
    <w:rsid w:val="00B636AF"/>
    <w:pPr>
      <w:tabs>
        <w:tab w:val="center" w:pos="4320"/>
        <w:tab w:val="right" w:pos="8640"/>
      </w:tabs>
    </w:pPr>
  </w:style>
  <w:style w:type="paragraph" w:styleId="Bobletekst">
    <w:name w:val="Balloon Text"/>
    <w:basedOn w:val="Normal"/>
    <w:link w:val="BobletekstTegn"/>
    <w:semiHidden/>
    <w:rsid w:val="00B62CFA"/>
    <w:rPr>
      <w:rFonts w:ascii="Tahoma" w:hAnsi="Tahoma" w:cs="Tahoma"/>
      <w:sz w:val="16"/>
      <w:szCs w:val="16"/>
    </w:rPr>
  </w:style>
  <w:style w:type="character" w:customStyle="1" w:styleId="BobletekstTegn">
    <w:name w:val="Bobletekst Tegn"/>
    <w:link w:val="Bobleteks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rsid w:val="00E83778"/>
    <w:pPr>
      <w:pBdr>
        <w:bottom w:val="single" w:sz="18" w:space="1" w:color="003399"/>
      </w:pBdr>
    </w:pPr>
    <w:rPr>
      <w:b w:val="0"/>
      <w:color w:val="000000"/>
      <w:sz w:val="20"/>
      <w:szCs w:val="18"/>
    </w:rPr>
  </w:style>
  <w:style w:type="character" w:customStyle="1" w:styleId="BrdtekstTegn">
    <w:name w:val="Brødtekst Tegn"/>
    <w:basedOn w:val="Standardskriftforavsnitt"/>
    <w:link w:val="Brdtekst"/>
    <w:semiHidden/>
    <w:rsid w:val="001715B2"/>
  </w:style>
  <w:style w:type="character" w:customStyle="1" w:styleId="BodytextAgencyChar">
    <w:name w:val="Body text (Agency) Char"/>
    <w:link w:val="BodytextAgency"/>
    <w:qFormat/>
    <w:locked/>
    <w:rsid w:val="00636806"/>
    <w:rPr>
      <w:rFonts w:ascii="Verdana" w:eastAsia="Verdana" w:hAnsi="Verdana" w:cs="Verdana"/>
      <w:sz w:val="18"/>
      <w:szCs w:val="18"/>
    </w:rPr>
  </w:style>
  <w:style w:type="paragraph" w:customStyle="1" w:styleId="EMEABodyText">
    <w:name w:val="EMEA Body Text"/>
    <w:basedOn w:val="Normal"/>
    <w:link w:val="EMEABodyTextChar"/>
    <w:uiPriority w:val="99"/>
    <w:rsid w:val="00745734"/>
    <w:rPr>
      <w:rFonts w:eastAsia="Times New Roman"/>
      <w:sz w:val="22"/>
      <w:szCs w:val="20"/>
      <w:lang w:eastAsia="en-US"/>
    </w:rPr>
  </w:style>
  <w:style w:type="character" w:customStyle="1" w:styleId="EMEABodyTextChar">
    <w:name w:val="EMEA Body Text Char"/>
    <w:link w:val="EMEABodyText"/>
    <w:uiPriority w:val="99"/>
    <w:rsid w:val="00745734"/>
    <w:rPr>
      <w:rFonts w:eastAsia="Times New Roman"/>
      <w:sz w:val="22"/>
      <w:lang w:eastAsia="en-US"/>
    </w:rPr>
  </w:style>
  <w:style w:type="paragraph" w:customStyle="1" w:styleId="EMEABodyTextIndent">
    <w:name w:val="EMEA Body Text Indent"/>
    <w:basedOn w:val="EMEABodyText"/>
    <w:next w:val="EMEABodyText"/>
    <w:rsid w:val="00745734"/>
    <w:pPr>
      <w:numPr>
        <w:numId w:val="6"/>
      </w:numPr>
      <w:tabs>
        <w:tab w:val="clear" w:pos="360"/>
        <w:tab w:val="num" w:pos="357"/>
      </w:tabs>
      <w:ind w:left="357" w:hanging="357"/>
    </w:pPr>
  </w:style>
  <w:style w:type="character" w:customStyle="1" w:styleId="BunntekstTegn">
    <w:name w:val="Bunntekst Tegn"/>
    <w:link w:val="Bunntekst"/>
    <w:uiPriority w:val="99"/>
    <w:semiHidden/>
    <w:locked/>
    <w:rsid w:val="00A41A41"/>
    <w:rPr>
      <w:rFonts w:ascii="Arial" w:eastAsia="Times New Roman" w:hAnsi="Arial"/>
      <w:sz w:val="16"/>
      <w:lang w:eastAsia="en-US"/>
    </w:rPr>
  </w:style>
  <w:style w:type="paragraph" w:styleId="Punktliste2">
    <w:name w:val="List Bullet 2"/>
    <w:basedOn w:val="Normal"/>
    <w:rsid w:val="00DA1BDC"/>
    <w:pPr>
      <w:numPr>
        <w:numId w:val="7"/>
      </w:numPr>
    </w:pPr>
    <w:rPr>
      <w:rFonts w:ascii="Verdana" w:hAnsi="Verdana" w:cs="Verdana"/>
      <w:lang w:eastAsia="zh-CN"/>
    </w:rPr>
  </w:style>
  <w:style w:type="paragraph" w:styleId="Listeavsnitt">
    <w:name w:val="List Paragraph"/>
    <w:basedOn w:val="Normal"/>
    <w:uiPriority w:val="34"/>
    <w:qFormat/>
    <w:rsid w:val="00D060AE"/>
    <w:pPr>
      <w:ind w:left="720"/>
      <w:contextualSpacing/>
    </w:pPr>
    <w:rPr>
      <w:rFonts w:eastAsia="Calibri"/>
      <w:sz w:val="22"/>
      <w:szCs w:val="20"/>
      <w:lang w:eastAsia="zh-CN"/>
    </w:rPr>
  </w:style>
  <w:style w:type="paragraph" w:styleId="Dato">
    <w:name w:val="Date"/>
    <w:basedOn w:val="Normal"/>
    <w:next w:val="Normal"/>
    <w:semiHidden/>
    <w:rsid w:val="00E51159"/>
  </w:style>
  <w:style w:type="paragraph" w:styleId="Dokumentkart">
    <w:name w:val="Document Map"/>
    <w:basedOn w:val="Normal"/>
    <w:semiHidden/>
    <w:rsid w:val="00E51159"/>
    <w:pPr>
      <w:shd w:val="clear" w:color="auto" w:fill="000080"/>
    </w:pPr>
    <w:rPr>
      <w:rFonts w:ascii="Tahoma" w:hAnsi="Tahoma" w:cs="Tahoma"/>
      <w:sz w:val="20"/>
      <w:szCs w:val="20"/>
    </w:rPr>
  </w:style>
  <w:style w:type="paragraph" w:styleId="E-postsignatur">
    <w:name w:val="E-mail Signature"/>
    <w:basedOn w:val="Normal"/>
    <w:semiHidden/>
    <w:rsid w:val="00E51159"/>
  </w:style>
  <w:style w:type="character" w:styleId="Utheving">
    <w:name w:val="Emphasis"/>
    <w:rsid w:val="001856FF"/>
    <w:rPr>
      <w:i/>
      <w:iCs/>
    </w:rPr>
  </w:style>
  <w:style w:type="paragraph" w:styleId="Konvoluttadresse">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Avsenderadresse">
    <w:name w:val="envelope return"/>
    <w:basedOn w:val="Normal"/>
    <w:semiHidden/>
    <w:rsid w:val="00E51159"/>
    <w:rPr>
      <w:rFonts w:ascii="Arial" w:hAnsi="Arial" w:cs="Arial"/>
      <w:sz w:val="20"/>
      <w:szCs w:val="20"/>
    </w:rPr>
  </w:style>
  <w:style w:type="character" w:styleId="Fulgthyperkobling">
    <w:name w:val="FollowedHyperlink"/>
    <w:semiHidden/>
    <w:rsid w:val="00E51159"/>
    <w:rPr>
      <w:color w:val="800080"/>
      <w:u w:val="single"/>
    </w:rPr>
  </w:style>
  <w:style w:type="character" w:styleId="Hyperkobling">
    <w:name w:val="Hyperlink"/>
    <w:semiHidden/>
    <w:rsid w:val="00E51159"/>
    <w:rPr>
      <w:color w:val="0000FF"/>
      <w:u w:val="single"/>
    </w:rPr>
  </w:style>
  <w:style w:type="character" w:styleId="Linjenummer">
    <w:name w:val="line number"/>
    <w:basedOn w:val="Standardskriftforavsnitt"/>
    <w:semiHidden/>
    <w:rsid w:val="00E51159"/>
  </w:style>
  <w:style w:type="paragraph" w:styleId="Makroteks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semiHidden/>
    <w:rsid w:val="00E51159"/>
    <w:rPr>
      <w:sz w:val="24"/>
      <w:szCs w:val="24"/>
    </w:rPr>
  </w:style>
  <w:style w:type="paragraph" w:styleId="Rentekst">
    <w:name w:val="Plain Text"/>
    <w:basedOn w:val="Normal"/>
    <w:semiHidden/>
    <w:rsid w:val="00E51159"/>
    <w:rPr>
      <w:rFonts w:ascii="Courier New" w:hAnsi="Courier New" w:cs="Courier New"/>
      <w:sz w:val="20"/>
      <w:szCs w:val="20"/>
    </w:rPr>
  </w:style>
  <w:style w:type="paragraph" w:styleId="Innledendehilsen">
    <w:name w:val="Salutation"/>
    <w:basedOn w:val="Normal"/>
    <w:next w:val="Normal"/>
    <w:semiHidden/>
    <w:rsid w:val="00E51159"/>
  </w:style>
  <w:style w:type="character" w:styleId="Sterk">
    <w:name w:val="Strong"/>
    <w:rsid w:val="001856FF"/>
    <w:rPr>
      <w:b/>
      <w:bCs/>
    </w:rPr>
  </w:style>
  <w:style w:type="table" w:styleId="Tabellrutenett">
    <w:name w:val="Table Grid"/>
    <w:basedOn w:val="Vanligtabel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ldeliste">
    <w:name w:val="table of authorities"/>
    <w:basedOn w:val="Normal"/>
    <w:next w:val="Normal"/>
    <w:semiHidden/>
    <w:rsid w:val="00E51159"/>
    <w:pPr>
      <w:ind w:left="180" w:hanging="180"/>
    </w:pPr>
  </w:style>
  <w:style w:type="paragraph" w:styleId="Figurliste">
    <w:name w:val="table of figures"/>
    <w:basedOn w:val="Normal"/>
    <w:next w:val="Normal"/>
    <w:semiHidden/>
    <w:rsid w:val="00E51159"/>
  </w:style>
  <w:style w:type="paragraph" w:styleId="Kildelisteoverskrift">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BC4EC5"/>
    <w:pPr>
      <w:keepNext/>
      <w:pBdr>
        <w:bottom w:val="single" w:sz="4" w:space="1" w:color="auto"/>
      </w:pBdr>
      <w:spacing w:before="567"/>
    </w:pPr>
    <w:rPr>
      <w:rFonts w:ascii="Verdana" w:eastAsia="Verdana" w:hAnsi="Verdana" w:cs="Verdana"/>
      <w:b/>
      <w:color w:val="003399"/>
      <w:sz w:val="18"/>
      <w:szCs w:val="18"/>
    </w:rPr>
  </w:style>
  <w:style w:type="character" w:customStyle="1" w:styleId="UnresolvedMention1">
    <w:name w:val="Unresolved Mention1"/>
    <w:basedOn w:val="Standardskriftforavsnitt"/>
    <w:rsid w:val="009C6201"/>
    <w:rPr>
      <w:color w:val="605E5C"/>
      <w:shd w:val="clear" w:color="auto" w:fill="E1DFDD"/>
    </w:rPr>
  </w:style>
  <w:style w:type="character" w:styleId="Merknadsreferanse">
    <w:name w:val="annotation reference"/>
    <w:basedOn w:val="Standardskriftforavsnitt"/>
    <w:semiHidden/>
    <w:rsid w:val="00857982"/>
    <w:rPr>
      <w:sz w:val="16"/>
      <w:szCs w:val="16"/>
    </w:rPr>
  </w:style>
  <w:style w:type="paragraph" w:styleId="Merknadstekst">
    <w:name w:val="annotation text"/>
    <w:basedOn w:val="Normal"/>
    <w:link w:val="MerknadstekstTegn"/>
    <w:semiHidden/>
    <w:rsid w:val="00857982"/>
    <w:rPr>
      <w:sz w:val="20"/>
      <w:szCs w:val="20"/>
    </w:rPr>
  </w:style>
  <w:style w:type="character" w:customStyle="1" w:styleId="MerknadstekstTegn">
    <w:name w:val="Merknadstekst Tegn"/>
    <w:basedOn w:val="Standardskriftforavsnitt"/>
    <w:link w:val="Merknadstekst"/>
    <w:semiHidden/>
    <w:rsid w:val="00857982"/>
    <w:rPr>
      <w:lang w:val="nb-NO"/>
    </w:rPr>
  </w:style>
  <w:style w:type="paragraph" w:styleId="Kommentaremne">
    <w:name w:val="annotation subject"/>
    <w:basedOn w:val="Merknadstekst"/>
    <w:next w:val="Merknadstekst"/>
    <w:link w:val="KommentaremneTegn"/>
    <w:semiHidden/>
    <w:rsid w:val="00857982"/>
    <w:rPr>
      <w:b/>
      <w:bCs/>
    </w:rPr>
  </w:style>
  <w:style w:type="character" w:customStyle="1" w:styleId="KommentaremneTegn">
    <w:name w:val="Kommentaremne Tegn"/>
    <w:basedOn w:val="MerknadstekstTegn"/>
    <w:link w:val="Kommentaremne"/>
    <w:semiHidden/>
    <w:rsid w:val="00857982"/>
    <w:rPr>
      <w:b/>
      <w:bCs/>
      <w:lang w:val="nb-NO"/>
    </w:rPr>
  </w:style>
  <w:style w:type="paragraph" w:styleId="Revisjon">
    <w:name w:val="Revision"/>
    <w:hidden/>
    <w:uiPriority w:val="99"/>
    <w:semiHidden/>
    <w:rsid w:val="004442BC"/>
    <w:rPr>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7216">
      <w:bodyDiv w:val="1"/>
      <w:marLeft w:val="0"/>
      <w:marRight w:val="0"/>
      <w:marTop w:val="0"/>
      <w:marBottom w:val="0"/>
      <w:divBdr>
        <w:top w:val="none" w:sz="0" w:space="0" w:color="auto"/>
        <w:left w:val="none" w:sz="0" w:space="0" w:color="auto"/>
        <w:bottom w:val="none" w:sz="0" w:space="0" w:color="auto"/>
        <w:right w:val="none" w:sz="0" w:space="0" w:color="auto"/>
      </w:divBdr>
    </w:div>
    <w:div w:id="1057316576">
      <w:bodyDiv w:val="1"/>
      <w:marLeft w:val="0"/>
      <w:marRight w:val="0"/>
      <w:marTop w:val="0"/>
      <w:marBottom w:val="0"/>
      <w:divBdr>
        <w:top w:val="none" w:sz="0" w:space="0" w:color="auto"/>
        <w:left w:val="none" w:sz="0" w:space="0" w:color="auto"/>
        <w:bottom w:val="none" w:sz="0" w:space="0" w:color="auto"/>
        <w:right w:val="none" w:sz="0" w:space="0" w:color="auto"/>
      </w:divBdr>
      <w:divsChild>
        <w:div w:id="1496216706">
          <w:marLeft w:val="0"/>
          <w:marRight w:val="0"/>
          <w:marTop w:val="0"/>
          <w:marBottom w:val="0"/>
          <w:divBdr>
            <w:top w:val="none" w:sz="0" w:space="0" w:color="auto"/>
            <w:left w:val="none" w:sz="0" w:space="0" w:color="auto"/>
            <w:bottom w:val="none" w:sz="0" w:space="0" w:color="auto"/>
            <w:right w:val="none" w:sz="0" w:space="0" w:color="auto"/>
          </w:divBdr>
          <w:divsChild>
            <w:div w:id="1721323471">
              <w:marLeft w:val="0"/>
              <w:marRight w:val="0"/>
              <w:marTop w:val="0"/>
              <w:marBottom w:val="0"/>
              <w:divBdr>
                <w:top w:val="none" w:sz="0" w:space="0" w:color="auto"/>
                <w:left w:val="none" w:sz="0" w:space="0" w:color="auto"/>
                <w:bottom w:val="none" w:sz="0" w:space="0" w:color="auto"/>
                <w:right w:val="none" w:sz="0" w:space="0" w:color="auto"/>
              </w:divBdr>
              <w:divsChild>
                <w:div w:id="913512829">
                  <w:marLeft w:val="0"/>
                  <w:marRight w:val="0"/>
                  <w:marTop w:val="0"/>
                  <w:marBottom w:val="0"/>
                  <w:divBdr>
                    <w:top w:val="none" w:sz="0" w:space="0" w:color="auto"/>
                    <w:left w:val="none" w:sz="0" w:space="0" w:color="auto"/>
                    <w:bottom w:val="none" w:sz="0" w:space="0" w:color="auto"/>
                    <w:right w:val="none" w:sz="0" w:space="0" w:color="auto"/>
                  </w:divBdr>
                  <w:divsChild>
                    <w:div w:id="1855218149">
                      <w:marLeft w:val="0"/>
                      <w:marRight w:val="0"/>
                      <w:marTop w:val="0"/>
                      <w:marBottom w:val="0"/>
                      <w:divBdr>
                        <w:top w:val="none" w:sz="0" w:space="0" w:color="auto"/>
                        <w:left w:val="none" w:sz="0" w:space="0" w:color="auto"/>
                        <w:bottom w:val="none" w:sz="0" w:space="0" w:color="auto"/>
                        <w:right w:val="none" w:sz="0" w:space="0" w:color="auto"/>
                      </w:divBdr>
                      <w:divsChild>
                        <w:div w:id="829369637">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47231">
      <w:bodyDiv w:val="1"/>
      <w:marLeft w:val="0"/>
      <w:marRight w:val="0"/>
      <w:marTop w:val="0"/>
      <w:marBottom w:val="0"/>
      <w:divBdr>
        <w:top w:val="none" w:sz="0" w:space="0" w:color="auto"/>
        <w:left w:val="none" w:sz="0" w:space="0" w:color="auto"/>
        <w:bottom w:val="none" w:sz="0" w:space="0" w:color="auto"/>
        <w:right w:val="none" w:sz="0" w:space="0" w:color="auto"/>
      </w:divBdr>
    </w:div>
    <w:div w:id="1337465596">
      <w:bodyDiv w:val="1"/>
      <w:marLeft w:val="0"/>
      <w:marRight w:val="0"/>
      <w:marTop w:val="0"/>
      <w:marBottom w:val="0"/>
      <w:divBdr>
        <w:top w:val="none" w:sz="0" w:space="0" w:color="auto"/>
        <w:left w:val="none" w:sz="0" w:space="0" w:color="auto"/>
        <w:bottom w:val="none" w:sz="0" w:space="0" w:color="auto"/>
        <w:right w:val="none" w:sz="0" w:space="0" w:color="auto"/>
      </w:divBdr>
    </w:div>
    <w:div w:id="1860117638">
      <w:bodyDiv w:val="1"/>
      <w:marLeft w:val="0"/>
      <w:marRight w:val="0"/>
      <w:marTop w:val="0"/>
      <w:marBottom w:val="0"/>
      <w:divBdr>
        <w:top w:val="none" w:sz="0" w:space="0" w:color="auto"/>
        <w:left w:val="none" w:sz="0" w:space="0" w:color="auto"/>
        <w:bottom w:val="none" w:sz="0" w:space="0" w:color="auto"/>
        <w:right w:val="none" w:sz="0" w:space="0" w:color="auto"/>
      </w:divBdr>
      <w:divsChild>
        <w:div w:id="1602447423">
          <w:marLeft w:val="0"/>
          <w:marRight w:val="0"/>
          <w:marTop w:val="0"/>
          <w:marBottom w:val="0"/>
          <w:divBdr>
            <w:top w:val="none" w:sz="0" w:space="0" w:color="auto"/>
            <w:left w:val="none" w:sz="0" w:space="0" w:color="auto"/>
            <w:bottom w:val="none" w:sz="0" w:space="0" w:color="auto"/>
            <w:right w:val="none" w:sz="0" w:space="0" w:color="auto"/>
          </w:divBdr>
          <w:divsChild>
            <w:div w:id="418794537">
              <w:marLeft w:val="0"/>
              <w:marRight w:val="0"/>
              <w:marTop w:val="0"/>
              <w:marBottom w:val="0"/>
              <w:divBdr>
                <w:top w:val="none" w:sz="0" w:space="0" w:color="auto"/>
                <w:left w:val="none" w:sz="0" w:space="0" w:color="auto"/>
                <w:bottom w:val="none" w:sz="0" w:space="0" w:color="auto"/>
                <w:right w:val="none" w:sz="0" w:space="0" w:color="auto"/>
              </w:divBdr>
              <w:divsChild>
                <w:div w:id="1161119943">
                  <w:marLeft w:val="0"/>
                  <w:marRight w:val="0"/>
                  <w:marTop w:val="0"/>
                  <w:marBottom w:val="0"/>
                  <w:divBdr>
                    <w:top w:val="none" w:sz="0" w:space="0" w:color="auto"/>
                    <w:left w:val="none" w:sz="0" w:space="0" w:color="auto"/>
                    <w:bottom w:val="none" w:sz="0" w:space="0" w:color="auto"/>
                    <w:right w:val="none" w:sz="0" w:space="0" w:color="auto"/>
                  </w:divBdr>
                  <w:divsChild>
                    <w:div w:id="788865582">
                      <w:marLeft w:val="0"/>
                      <w:marRight w:val="0"/>
                      <w:marTop w:val="0"/>
                      <w:marBottom w:val="0"/>
                      <w:divBdr>
                        <w:top w:val="none" w:sz="0" w:space="0" w:color="auto"/>
                        <w:left w:val="none" w:sz="0" w:space="0" w:color="auto"/>
                        <w:bottom w:val="none" w:sz="0" w:space="0" w:color="auto"/>
                        <w:right w:val="none" w:sz="0" w:space="0" w:color="auto"/>
                      </w:divBdr>
                      <w:divsChild>
                        <w:div w:id="1906793223">
                          <w:marLeft w:val="0"/>
                          <w:marRight w:val="0"/>
                          <w:marTop w:val="0"/>
                          <w:marBottom w:val="0"/>
                          <w:divBdr>
                            <w:top w:val="none" w:sz="0" w:space="0" w:color="auto"/>
                            <w:left w:val="none" w:sz="0" w:space="0" w:color="auto"/>
                            <w:bottom w:val="none" w:sz="0" w:space="0" w:color="auto"/>
                            <w:right w:val="none" w:sz="0" w:space="0" w:color="auto"/>
                          </w:divBdr>
                          <w:divsChild>
                            <w:div w:id="17922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102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698A020EA45D44CA16005B4F166C2DC" ma:contentTypeVersion="16" ma:contentTypeDescription="Opprett et nytt dokument." ma:contentTypeScope="" ma:versionID="c4b81b2fac250b8c91c47665dc933969">
  <xsd:schema xmlns:xsd="http://www.w3.org/2001/XMLSchema" xmlns:xs="http://www.w3.org/2001/XMLSchema" xmlns:p="http://schemas.microsoft.com/office/2006/metadata/properties" xmlns:ns2="76a2bf3a-aef7-43e2-9ad7-9b8487525308" xmlns:ns3="a1e68553-56bd-4711-a770-bfbae66ea3b9" targetNamespace="http://schemas.microsoft.com/office/2006/metadata/properties" ma:root="true" ma:fieldsID="f3b193f3fa0df952e5e13eeda920464b" ns2:_="" ns3:_="">
    <xsd:import namespace="76a2bf3a-aef7-43e2-9ad7-9b8487525308"/>
    <xsd:import namespace="a1e68553-56bd-4711-a770-bfbae66ea3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2bf3a-aef7-43e2-9ad7-9b8487525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68553-56bd-4711-a770-bfbae66ea3b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a4ea9eb9-814c-4072-9148-fe62c7d2baac}" ma:internalName="TaxCatchAll" ma:showField="CatchAllData" ma:web="a1e68553-56bd-4711-a770-bfbae66ea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98545-1CD9-457F-8B33-D8E312DDB53B}">
  <ds:schemaRefs>
    <ds:schemaRef ds:uri="http://schemas.openxmlformats.org/officeDocument/2006/bibliography"/>
  </ds:schemaRefs>
</ds:datastoreItem>
</file>

<file path=customXml/itemProps2.xml><?xml version="1.0" encoding="utf-8"?>
<ds:datastoreItem xmlns:ds="http://schemas.openxmlformats.org/officeDocument/2006/customXml" ds:itemID="{F2DFFA10-1E2A-4441-9BF1-5AC80D549B2F}"/>
</file>

<file path=customXml/itemProps3.xml><?xml version="1.0" encoding="utf-8"?>
<ds:datastoreItem xmlns:ds="http://schemas.openxmlformats.org/officeDocument/2006/customXml" ds:itemID="{BB791FB6-9190-4414-BAAA-B7CC63A171B3}"/>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7062</Characters>
  <Application>Microsoft Office Word</Application>
  <DocSecurity>4</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New product information wording - Sep 2024_EN</vt:lpstr>
      <vt:lpstr>New product information wording - Sep 2024_EN</vt:lpstr>
    </vt:vector>
  </TitlesOfParts>
  <Company>European Medicines Agency</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product information wording - Sep 2024_EN</dc:title>
  <dc:creator>Cappelli Benedicte</dc:creator>
  <dc:description>Template version: 8 August 2014</dc:description>
  <cp:lastModifiedBy>Sarah Hussain</cp:lastModifiedBy>
  <cp:revision>2</cp:revision>
  <cp:lastPrinted>2017-01-19T12:32:00Z</cp:lastPrinted>
  <dcterms:created xsi:type="dcterms:W3CDTF">2024-09-26T10:34:00Z</dcterms:created>
  <dcterms:modified xsi:type="dcterms:W3CDTF">2024-09-26T10:34:00Z</dcterms:modified>
</cp:coreProperties>
</file>